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7873D7C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CB6167">
        <w:rPr>
          <w:rFonts w:ascii="Arial" w:eastAsia="SimSun" w:hAnsi="Arial" w:cs="Times New Roman"/>
          <w:b/>
          <w:sz w:val="24"/>
          <w:szCs w:val="20"/>
          <w:lang w:val="en-GB"/>
        </w:rPr>
        <w:t>8</w:t>
      </w:r>
      <w:r w:rsidR="004A0531">
        <w:rPr>
          <w:rFonts w:ascii="Arial" w:eastAsia="SimSun" w:hAnsi="Arial" w:cs="Times New Roman"/>
          <w:b/>
          <w:sz w:val="24"/>
          <w:szCs w:val="20"/>
          <w:lang w:val="en-GB"/>
        </w:rPr>
        <w:t>-</w:t>
      </w:r>
      <w:r w:rsidR="00A9505E">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10E91" w:rsidRPr="00110E91">
        <w:rPr>
          <w:rFonts w:ascii="Arial" w:eastAsia="SimSun" w:hAnsi="Arial" w:cs="Times New Roman"/>
          <w:b/>
          <w:bCs/>
          <w:sz w:val="24"/>
          <w:szCs w:val="20"/>
          <w:lang w:val="en-GB" w:eastAsia="ja-JP"/>
        </w:rPr>
        <w:t>R4-2100557</w:t>
      </w:r>
    </w:p>
    <w:bookmarkEnd w:id="0"/>
    <w:bookmarkEnd w:id="1"/>
    <w:p w14:paraId="5E338201" w14:textId="21CBEAF6"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CA4325">
        <w:rPr>
          <w:rFonts w:ascii="Arial" w:eastAsia="SimSun" w:hAnsi="Arial" w:cs="Times New Roman"/>
          <w:b/>
          <w:sz w:val="24"/>
          <w:szCs w:val="20"/>
          <w:lang w:val="en-GB"/>
        </w:rPr>
        <w:t>2</w:t>
      </w:r>
      <w:r w:rsidR="00A9505E">
        <w:rPr>
          <w:rFonts w:ascii="Arial" w:eastAsia="SimSun" w:hAnsi="Arial" w:cs="Times New Roman"/>
          <w:b/>
          <w:sz w:val="24"/>
          <w:szCs w:val="20"/>
          <w:lang w:val="en-GB"/>
        </w:rPr>
        <w:t xml:space="preserve">5 Jan. </w:t>
      </w:r>
      <w:r w:rsidR="00D71395">
        <w:rPr>
          <w:rFonts w:ascii="Arial" w:eastAsia="SimSun" w:hAnsi="Arial" w:cs="Times New Roman"/>
          <w:b/>
          <w:sz w:val="24"/>
          <w:szCs w:val="20"/>
          <w:lang w:val="en-GB"/>
        </w:rPr>
        <w:t>-</w:t>
      </w:r>
      <w:r w:rsidR="00A9505E">
        <w:rPr>
          <w:rFonts w:ascii="Arial" w:eastAsia="SimSun" w:hAnsi="Arial" w:cs="Times New Roman"/>
          <w:b/>
          <w:sz w:val="24"/>
          <w:szCs w:val="20"/>
          <w:lang w:val="en-GB"/>
        </w:rPr>
        <w:t xml:space="preserve"> 5</w:t>
      </w:r>
      <w:r w:rsidR="00D71395">
        <w:rPr>
          <w:rFonts w:ascii="Arial" w:eastAsia="SimSun" w:hAnsi="Arial" w:cs="Times New Roman"/>
          <w:b/>
          <w:sz w:val="24"/>
          <w:szCs w:val="20"/>
          <w:lang w:val="en-GB"/>
        </w:rPr>
        <w:t xml:space="preserve"> </w:t>
      </w:r>
      <w:proofErr w:type="gramStart"/>
      <w:r w:rsidR="00A9505E">
        <w:rPr>
          <w:rFonts w:ascii="Arial" w:eastAsia="SimSun" w:hAnsi="Arial" w:cs="Times New Roman"/>
          <w:b/>
          <w:sz w:val="24"/>
          <w:szCs w:val="20"/>
          <w:lang w:val="en-GB"/>
        </w:rPr>
        <w:t>Feb</w:t>
      </w:r>
      <w:r w:rsidR="00D71395">
        <w:rPr>
          <w:rFonts w:ascii="Arial" w:eastAsia="SimSun" w:hAnsi="Arial" w:cs="Times New Roman"/>
          <w:b/>
          <w:sz w:val="24"/>
          <w:szCs w:val="20"/>
          <w:lang w:val="en-GB"/>
        </w:rPr>
        <w:t>.</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w:t>
      </w:r>
      <w:r w:rsidR="00A9505E">
        <w:rPr>
          <w:rFonts w:ascii="Arial" w:eastAsia="SimSun" w:hAnsi="Arial" w:cs="Times New Roman"/>
          <w:b/>
          <w:sz w:val="24"/>
          <w:szCs w:val="20"/>
          <w:lang w:val="en-GB"/>
        </w:rPr>
        <w:t>1</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6F133C8C"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204B3">
        <w:rPr>
          <w:rFonts w:ascii="Arial" w:eastAsia="Calibri" w:hAnsi="Arial" w:cs="Arial"/>
          <w:b/>
          <w:bCs/>
          <w:sz w:val="24"/>
          <w:lang w:val="en-GB"/>
        </w:rPr>
        <w:t xml:space="preserve">On </w:t>
      </w:r>
      <w:r w:rsidR="00E133E9" w:rsidRPr="00E133E9">
        <w:rPr>
          <w:rFonts w:ascii="Arial" w:eastAsia="Calibri" w:hAnsi="Arial" w:cs="Arial"/>
          <w:b/>
          <w:bCs/>
          <w:sz w:val="24"/>
          <w:lang w:val="en-GB"/>
        </w:rPr>
        <w:t>BS demodulation different channel bandwidths applicability rules</w:t>
      </w:r>
      <w:r w:rsidR="007E152F">
        <w:rPr>
          <w:rFonts w:ascii="Arial" w:eastAsia="Calibri" w:hAnsi="Arial" w:cs="Arial"/>
          <w:b/>
          <w:bCs/>
          <w:sz w:val="24"/>
          <w:lang w:val="en-GB"/>
        </w:rPr>
        <w:t xml:space="preserve"> and synchronization in test setup</w:t>
      </w:r>
    </w:p>
    <w:p w14:paraId="139CE457" w14:textId="2DEBC3BB"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A11F66">
        <w:rPr>
          <w:rFonts w:ascii="Arial" w:eastAsia="MS Mincho" w:hAnsi="Arial" w:cs="Arial"/>
          <w:b/>
          <w:bCs/>
          <w:sz w:val="24"/>
          <w:szCs w:val="20"/>
          <w:lang w:val="en-GB"/>
        </w:rPr>
        <w:t>4.9.3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47155F9C" w14:textId="2ED1304E" w:rsidR="00E133E9" w:rsidRDefault="00E133E9" w:rsidP="005C23A4">
      <w:pPr>
        <w:rPr>
          <w:lang w:val="en-GB"/>
        </w:rPr>
      </w:pPr>
      <w:r>
        <w:rPr>
          <w:lang w:val="en-GB"/>
        </w:rPr>
        <w:t>We have submitted CRs for TS 38.141-1 and TS 38.141-2 this meeting [</w:t>
      </w:r>
      <w:r w:rsidR="00110E91" w:rsidRPr="00110E91">
        <w:rPr>
          <w:lang w:val="en-GB"/>
        </w:rPr>
        <w:t>R4-2100551</w:t>
      </w:r>
      <w:r w:rsidR="00B06FD7">
        <w:rPr>
          <w:lang w:val="en-GB"/>
        </w:rPr>
        <w:t xml:space="preserve"> </w:t>
      </w:r>
      <w:r>
        <w:rPr>
          <w:lang w:val="en-GB"/>
        </w:rPr>
        <w:t>-</w:t>
      </w:r>
      <w:r w:rsidR="00B06FD7">
        <w:rPr>
          <w:lang w:val="en-GB"/>
        </w:rPr>
        <w:t xml:space="preserve"> </w:t>
      </w:r>
      <w:bookmarkStart w:id="3" w:name="_GoBack"/>
      <w:bookmarkEnd w:id="3"/>
      <w:r w:rsidR="00110E91" w:rsidRPr="00110E91">
        <w:rPr>
          <w:lang w:val="en-GB"/>
        </w:rPr>
        <w:t>R4-210055</w:t>
      </w:r>
      <w:r w:rsidR="00110E91">
        <w:rPr>
          <w:lang w:val="en-GB"/>
        </w:rPr>
        <w:t>6</w:t>
      </w:r>
      <w:r>
        <w:rPr>
          <w:lang w:val="en-GB"/>
        </w:rPr>
        <w:t>] that aim to rephrase various “</w:t>
      </w:r>
      <w:r w:rsidRPr="00E133E9">
        <w:rPr>
          <w:lang w:val="en-GB"/>
        </w:rPr>
        <w:t>Applicability of requirements for different channel bandwidths</w:t>
      </w:r>
      <w:r>
        <w:rPr>
          <w:lang w:val="en-GB"/>
        </w:rPr>
        <w:t>” rules, starting from Rel-15.</w:t>
      </w:r>
      <w:r>
        <w:rPr>
          <w:lang w:val="en-GB"/>
        </w:rPr>
        <w:br/>
        <w:t xml:space="preserve">In this contribution we want to explain our reasoning behind these changes. </w:t>
      </w:r>
    </w:p>
    <w:p w14:paraId="689BC4A6" w14:textId="53063D18" w:rsidR="007A6D35" w:rsidRDefault="007A6D35" w:rsidP="007A6D35">
      <w:pPr>
        <w:rPr>
          <w:lang w:val="en-GB"/>
        </w:rPr>
      </w:pPr>
      <w:r>
        <w:rPr>
          <w:lang w:val="en-GB"/>
        </w:rPr>
        <w:t xml:space="preserve">Furthermore, our CRs for the conducted test requirement specification introduces a sentence about providing </w:t>
      </w:r>
      <w:r w:rsidRPr="007A6D35">
        <w:rPr>
          <w:lang w:val="en-GB"/>
        </w:rPr>
        <w:t>synchronization signal</w:t>
      </w:r>
      <w:r>
        <w:rPr>
          <w:lang w:val="en-GB"/>
        </w:rPr>
        <w:t>s to the TE via implementation specific means</w:t>
      </w:r>
      <w:r w:rsidR="00110E91">
        <w:rPr>
          <w:lang w:val="en-GB"/>
        </w:rPr>
        <w:t xml:space="preserve"> [</w:t>
      </w:r>
      <w:r w:rsidR="00110E91" w:rsidRPr="00110E91">
        <w:rPr>
          <w:lang w:val="en-GB"/>
        </w:rPr>
        <w:t>R4-2100548</w:t>
      </w:r>
      <w:r w:rsidR="00B06FD7">
        <w:rPr>
          <w:lang w:val="en-GB"/>
        </w:rPr>
        <w:t xml:space="preserve"> </w:t>
      </w:r>
      <w:r w:rsidR="00110E91">
        <w:rPr>
          <w:lang w:val="en-GB"/>
        </w:rPr>
        <w:t>-</w:t>
      </w:r>
      <w:r w:rsidR="00B06FD7">
        <w:rPr>
          <w:lang w:val="en-GB"/>
        </w:rPr>
        <w:t xml:space="preserve"> </w:t>
      </w:r>
      <w:r w:rsidR="00110E91" w:rsidRPr="00110E91">
        <w:rPr>
          <w:lang w:val="en-GB"/>
        </w:rPr>
        <w:t>R4-21005</w:t>
      </w:r>
      <w:r w:rsidR="00110E91">
        <w:rPr>
          <w:lang w:val="en-GB"/>
        </w:rPr>
        <w:t>50]</w:t>
      </w:r>
      <w:r>
        <w:rPr>
          <w:lang w:val="en-GB"/>
        </w:rPr>
        <w:t>. We will also discuss this more in detail in this contribution.</w:t>
      </w:r>
    </w:p>
    <w:p w14:paraId="5843E3D2" w14:textId="0E037F64" w:rsidR="00E133E9" w:rsidRDefault="00E133E9" w:rsidP="005C23A4">
      <w:pPr>
        <w:rPr>
          <w:lang w:val="en-GB"/>
        </w:rPr>
      </w:pPr>
      <w:r>
        <w:rPr>
          <w:lang w:val="en-GB"/>
        </w:rPr>
        <w:t>We note that we do not want to change the intent of the specifications, or overturn previous agreements. It is our goal to align the specification text with the specification intent and previous agreements.</w:t>
      </w:r>
    </w:p>
    <w:p w14:paraId="56C02E38" w14:textId="4342C551" w:rsidR="00E133E9" w:rsidRDefault="00E133E9" w:rsidP="005C23A4">
      <w:pPr>
        <w:rPr>
          <w:lang w:val="en-GB"/>
        </w:rPr>
      </w:pPr>
    </w:p>
    <w:p w14:paraId="7398839F" w14:textId="77777777" w:rsidR="00B52387" w:rsidRDefault="00B52387" w:rsidP="005C23A4">
      <w:pPr>
        <w:rPr>
          <w:lang w:val="en-GB"/>
        </w:rPr>
      </w:pPr>
    </w:p>
    <w:p w14:paraId="01EA7F47" w14:textId="3F475A58" w:rsidR="00C21ADB" w:rsidRDefault="00C21ADB" w:rsidP="005C23A4">
      <w:pPr>
        <w:rPr>
          <w:lang w:val="en-GB"/>
        </w:rPr>
      </w:pPr>
    </w:p>
    <w:p w14:paraId="2E98AB7F" w14:textId="51C56F8F" w:rsidR="00E133E9" w:rsidRPr="0028713C" w:rsidRDefault="007846BC" w:rsidP="00E133E9">
      <w:pPr>
        <w:pStyle w:val="RAN4H1"/>
      </w:pPr>
      <w:r>
        <w:t>A</w:t>
      </w:r>
      <w:r w:rsidRPr="007846BC">
        <w:t>pplicability of requirements for different channel bandwidths</w:t>
      </w:r>
    </w:p>
    <w:p w14:paraId="62090EA4" w14:textId="5C997898" w:rsidR="00E133E9" w:rsidRDefault="00E133E9" w:rsidP="005C23A4">
      <w:pPr>
        <w:rPr>
          <w:lang w:val="en-GB"/>
        </w:rPr>
      </w:pPr>
      <w:r>
        <w:rPr>
          <w:lang w:val="en-GB"/>
        </w:rPr>
        <w:t xml:space="preserve">During the BS demodulation requirement work in NR_newRAT, the following agreements concerning the </w:t>
      </w:r>
      <w:r w:rsidRPr="00E133E9">
        <w:rPr>
          <w:lang w:val="en-GB"/>
        </w:rPr>
        <w:t>CBW applicability rules</w:t>
      </w:r>
      <w:r>
        <w:rPr>
          <w:lang w:val="en-GB"/>
        </w:rPr>
        <w:t xml:space="preserve"> were reached (not all agreements are reproduced here)</w:t>
      </w:r>
      <w:r w:rsidR="00E92ECD">
        <w:rPr>
          <w:lang w:val="en-GB"/>
        </w:rPr>
        <w:t xml:space="preserve"> </w:t>
      </w:r>
      <w:r w:rsidR="0084365A">
        <w:rPr>
          <w:lang w:val="en-GB"/>
        </w:rPr>
        <w:fldChar w:fldCharType="begin"/>
      </w:r>
      <w:r w:rsidR="0084365A">
        <w:rPr>
          <w:lang w:val="en-GB"/>
        </w:rPr>
        <w:instrText xml:space="preserve"> REF _Ref61551515 \r \h </w:instrText>
      </w:r>
      <w:r w:rsidR="0084365A">
        <w:rPr>
          <w:lang w:val="en-GB"/>
        </w:rPr>
      </w:r>
      <w:r w:rsidR="0084365A">
        <w:rPr>
          <w:lang w:val="en-GB"/>
        </w:rPr>
        <w:fldChar w:fldCharType="separate"/>
      </w:r>
      <w:r w:rsidR="0084365A">
        <w:rPr>
          <w:lang w:val="en-GB"/>
        </w:rPr>
        <w:t>[1]</w:t>
      </w:r>
      <w:r w:rsidR="0084365A">
        <w:rPr>
          <w:lang w:val="en-GB"/>
        </w:rPr>
        <w:fldChar w:fldCharType="end"/>
      </w:r>
      <w:r w:rsidR="00E92ECD">
        <w:rPr>
          <w:lang w:val="en-GB"/>
        </w:rPr>
        <w:t>:</w:t>
      </w:r>
    </w:p>
    <w:tbl>
      <w:tblPr>
        <w:tblStyle w:val="TableGrid"/>
        <w:tblW w:w="4500" w:type="pct"/>
        <w:jc w:val="center"/>
        <w:tblLook w:val="04A0" w:firstRow="1" w:lastRow="0" w:firstColumn="1" w:lastColumn="0" w:noHBand="0" w:noVBand="1"/>
      </w:tblPr>
      <w:tblGrid>
        <w:gridCol w:w="8655"/>
      </w:tblGrid>
      <w:tr w:rsidR="00E133E9" w14:paraId="4F1A4994" w14:textId="77777777" w:rsidTr="007E591D">
        <w:trPr>
          <w:jc w:val="center"/>
        </w:trPr>
        <w:tc>
          <w:tcPr>
            <w:tcW w:w="8655" w:type="dxa"/>
          </w:tcPr>
          <w:p w14:paraId="5507DDC1" w14:textId="77777777" w:rsidR="00E133E9" w:rsidRPr="00E133E9" w:rsidRDefault="00E133E9" w:rsidP="00E77901">
            <w:pPr>
              <w:numPr>
                <w:ilvl w:val="0"/>
                <w:numId w:val="8"/>
              </w:numPr>
              <w:rPr>
                <w:lang w:val="en-GB"/>
              </w:rPr>
            </w:pPr>
            <w:r w:rsidRPr="00E133E9">
              <w:rPr>
                <w:lang w:val="en-GB"/>
              </w:rPr>
              <w:t>PUSCH and declared supported PUCCH format(s) tests with different SCS and CBW combinations</w:t>
            </w:r>
          </w:p>
          <w:p w14:paraId="29D31014" w14:textId="77777777" w:rsidR="00E133E9" w:rsidRPr="00E133E9" w:rsidRDefault="00E133E9" w:rsidP="00E77901">
            <w:pPr>
              <w:numPr>
                <w:ilvl w:val="1"/>
                <w:numId w:val="8"/>
              </w:numPr>
              <w:rPr>
                <w:lang w:val="en-GB"/>
              </w:rPr>
            </w:pPr>
            <w:r w:rsidRPr="00E133E9">
              <w:rPr>
                <w:highlight w:val="cyan"/>
              </w:rPr>
              <w:t>Test</w:t>
            </w:r>
            <w:r w:rsidRPr="00E133E9">
              <w:t xml:space="preserve"> all declared SCS, for each declared SCS, </w:t>
            </w:r>
            <w:r w:rsidRPr="00E133E9">
              <w:rPr>
                <w:highlight w:val="cyan"/>
              </w:rPr>
              <w:t>BS is required to test on the highest CBW declared</w:t>
            </w:r>
            <w:r w:rsidRPr="00E133E9">
              <w:t xml:space="preserve">. </w:t>
            </w:r>
          </w:p>
          <w:p w14:paraId="5415458E" w14:textId="4BA009E7" w:rsidR="00E133E9" w:rsidRPr="00E133E9" w:rsidRDefault="00E133E9" w:rsidP="00E77901">
            <w:pPr>
              <w:numPr>
                <w:ilvl w:val="2"/>
                <w:numId w:val="8"/>
              </w:numPr>
              <w:rPr>
                <w:lang w:val="en-GB"/>
              </w:rPr>
            </w:pPr>
            <w:r w:rsidRPr="00E133E9">
              <w:t>If the largest CBW declared is no in the subset with defined performance requirements, BS will be tested on the nearest lower BW (i.e. reference BW) in the subset, the reference BW will be placed in the middle of the channel BW during the test.</w:t>
            </w:r>
          </w:p>
        </w:tc>
      </w:tr>
    </w:tbl>
    <w:p w14:paraId="3E85894F" w14:textId="2056FE96" w:rsidR="00E133E9" w:rsidRDefault="00E133E9" w:rsidP="00E133E9">
      <w:pPr>
        <w:rPr>
          <w:lang w:val="en-GB"/>
        </w:rPr>
      </w:pPr>
    </w:p>
    <w:p w14:paraId="44717577" w14:textId="4EDEF753" w:rsidR="00E92ECD" w:rsidRDefault="00E92ECD" w:rsidP="00E133E9">
      <w:pPr>
        <w:rPr>
          <w:lang w:val="en-GB"/>
        </w:rPr>
      </w:pPr>
      <w:r>
        <w:rPr>
          <w:lang w:val="en-GB"/>
        </w:rPr>
        <w:t>From the highlighted part of this agreement we understand:</w:t>
      </w:r>
    </w:p>
    <w:p w14:paraId="23776D77" w14:textId="2A129564" w:rsidR="00E133E9" w:rsidRDefault="00E92ECD" w:rsidP="00E92ECD">
      <w:pPr>
        <w:pStyle w:val="RAN4observation0"/>
      </w:pPr>
      <w:r>
        <w:t xml:space="preserve">The intent behind the </w:t>
      </w:r>
      <w:r w:rsidRPr="00E133E9">
        <w:t>CBW applicability rules</w:t>
      </w:r>
      <w:r>
        <w:t xml:space="preserve"> was to only test the widest testable channel bandwidth.</w:t>
      </w:r>
    </w:p>
    <w:p w14:paraId="1271FEC5" w14:textId="77777777" w:rsidR="007846BC" w:rsidRDefault="007846BC" w:rsidP="005C23A4">
      <w:pPr>
        <w:rPr>
          <w:lang w:val="en-GB"/>
        </w:rPr>
      </w:pPr>
    </w:p>
    <w:p w14:paraId="01E51A4A" w14:textId="00A3EC76" w:rsidR="00E92ECD" w:rsidRDefault="00BA4052" w:rsidP="005C23A4">
      <w:pPr>
        <w:rPr>
          <w:lang w:val="en-GB"/>
        </w:rPr>
      </w:pPr>
      <w:r>
        <w:rPr>
          <w:lang w:val="en-GB"/>
        </w:rPr>
        <w:t>Looking for</w:t>
      </w:r>
      <w:r w:rsidR="00E92ECD">
        <w:rPr>
          <w:lang w:val="en-GB"/>
        </w:rPr>
        <w:t xml:space="preserve"> this intent </w:t>
      </w:r>
      <w:r>
        <w:rPr>
          <w:lang w:val="en-GB"/>
        </w:rPr>
        <w:t>to be captured in the</w:t>
      </w:r>
      <w:r w:rsidR="00E92ECD">
        <w:rPr>
          <w:lang w:val="en-GB"/>
        </w:rPr>
        <w:t xml:space="preserve"> current text </w:t>
      </w:r>
      <w:r>
        <w:rPr>
          <w:lang w:val="en-GB"/>
        </w:rPr>
        <w:t>of</w:t>
      </w:r>
      <w:r w:rsidR="00E92ECD">
        <w:rPr>
          <w:lang w:val="en-GB"/>
        </w:rPr>
        <w:t xml:space="preserve"> the specification (for example </w:t>
      </w:r>
      <w:r w:rsidR="0084365A">
        <w:rPr>
          <w:lang w:val="en-GB"/>
        </w:rPr>
        <w:t xml:space="preserve">TS </w:t>
      </w:r>
      <w:r w:rsidR="00E92ECD">
        <w:rPr>
          <w:lang w:val="en-GB"/>
        </w:rPr>
        <w:t>38.141-1, Rel-15,</w:t>
      </w:r>
      <w:r w:rsidR="0084365A">
        <w:rPr>
          <w:lang w:val="en-GB"/>
        </w:rPr>
        <w:t xml:space="preserve"> section</w:t>
      </w:r>
      <w:r w:rsidR="00E92ECD">
        <w:rPr>
          <w:lang w:val="en-GB"/>
        </w:rPr>
        <w:t xml:space="preserve"> 8.1.2.1.2</w:t>
      </w:r>
      <w:r>
        <w:rPr>
          <w:lang w:val="en-GB"/>
        </w:rPr>
        <w:t>)</w:t>
      </w:r>
      <w:r w:rsidR="00E92ECD">
        <w:rPr>
          <w:lang w:val="en-GB"/>
        </w:rPr>
        <w:t>:</w:t>
      </w:r>
    </w:p>
    <w:tbl>
      <w:tblPr>
        <w:tblStyle w:val="TableGrid"/>
        <w:tblW w:w="4500" w:type="pct"/>
        <w:jc w:val="center"/>
        <w:tblLook w:val="04A0" w:firstRow="1" w:lastRow="0" w:firstColumn="1" w:lastColumn="0" w:noHBand="0" w:noVBand="1"/>
      </w:tblPr>
      <w:tblGrid>
        <w:gridCol w:w="8655"/>
      </w:tblGrid>
      <w:tr w:rsidR="00E92ECD" w14:paraId="02E88976" w14:textId="77777777" w:rsidTr="00E92ECD">
        <w:trPr>
          <w:jc w:val="center"/>
        </w:trPr>
        <w:tc>
          <w:tcPr>
            <w:tcW w:w="8655" w:type="dxa"/>
            <w:tcBorders>
              <w:top w:val="single" w:sz="4" w:space="0" w:color="auto"/>
              <w:left w:val="single" w:sz="4" w:space="0" w:color="auto"/>
              <w:bottom w:val="single" w:sz="4" w:space="0" w:color="auto"/>
              <w:right w:val="single" w:sz="4" w:space="0" w:color="auto"/>
            </w:tcBorders>
          </w:tcPr>
          <w:p w14:paraId="593AB75A" w14:textId="77777777" w:rsidR="00E92ECD" w:rsidRPr="00E92ECD" w:rsidRDefault="00E92ECD" w:rsidP="00E92ECD">
            <w:pPr>
              <w:keepNext/>
              <w:keepLines/>
              <w:spacing w:before="120" w:after="180"/>
              <w:ind w:left="1701" w:hanging="1701"/>
              <w:outlineLvl w:val="4"/>
              <w:rPr>
                <w:rFonts w:ascii="Arial" w:eastAsia="Times New Roman" w:hAnsi="Arial" w:cs="Times New Roman"/>
                <w:sz w:val="22"/>
                <w:szCs w:val="20"/>
                <w:lang w:val="en-GB" w:eastAsia="zh-CN"/>
              </w:rPr>
            </w:pPr>
            <w:bookmarkStart w:id="4" w:name="_Toc21100095"/>
            <w:bookmarkStart w:id="5" w:name="_Toc29809893"/>
            <w:bookmarkStart w:id="6" w:name="_Toc36645278"/>
            <w:bookmarkStart w:id="7" w:name="_Toc37272332"/>
            <w:bookmarkStart w:id="8" w:name="_Toc45884578"/>
            <w:bookmarkStart w:id="9" w:name="_Toc53182601"/>
            <w:bookmarkStart w:id="10" w:name="_Toc58860342"/>
            <w:r w:rsidRPr="00E92ECD">
              <w:rPr>
                <w:rFonts w:ascii="Arial" w:eastAsia="Times New Roman" w:hAnsi="Arial" w:cs="Times New Roman"/>
                <w:sz w:val="22"/>
                <w:szCs w:val="20"/>
                <w:lang w:val="en-GB"/>
              </w:rPr>
              <w:lastRenderedPageBreak/>
              <w:t>8.1.2.1</w:t>
            </w:r>
            <w:r w:rsidRPr="00E92ECD">
              <w:rPr>
                <w:rFonts w:ascii="Arial" w:eastAsia="Times New Roman" w:hAnsi="Arial" w:cs="Times New Roman"/>
                <w:sz w:val="22"/>
                <w:szCs w:val="20"/>
                <w:lang w:val="en-GB" w:eastAsia="zh-CN"/>
              </w:rPr>
              <w:t>.2</w:t>
            </w:r>
            <w:r w:rsidRPr="00E92ECD">
              <w:rPr>
                <w:rFonts w:ascii="Arial" w:eastAsia="Times New Roman" w:hAnsi="Arial" w:cs="Times New Roman"/>
                <w:sz w:val="22"/>
                <w:szCs w:val="20"/>
                <w:lang w:val="en-GB"/>
              </w:rPr>
              <w:tab/>
              <w:t>Applicability of requirements for different channel bandwidths</w:t>
            </w:r>
            <w:bookmarkEnd w:id="4"/>
            <w:bookmarkEnd w:id="5"/>
            <w:bookmarkEnd w:id="6"/>
            <w:bookmarkEnd w:id="7"/>
            <w:bookmarkEnd w:id="8"/>
            <w:bookmarkEnd w:id="9"/>
            <w:bookmarkEnd w:id="10"/>
          </w:p>
          <w:p w14:paraId="3C98E8FD" w14:textId="77777777" w:rsidR="00E92ECD" w:rsidRPr="00E92ECD" w:rsidRDefault="00E92ECD" w:rsidP="00E92ECD">
            <w:pPr>
              <w:spacing w:after="180"/>
              <w:rPr>
                <w:rFonts w:eastAsia="Times New Roman" w:cs="Times New Roman"/>
                <w:szCs w:val="20"/>
                <w:lang w:val="en-GB" w:eastAsia="zh-CN"/>
              </w:rPr>
            </w:pPr>
            <w:r w:rsidRPr="00E92ECD">
              <w:rPr>
                <w:rFonts w:eastAsia="Times New Roman" w:cs="Times New Roman"/>
                <w:szCs w:val="20"/>
                <w:lang w:val="en-GB" w:eastAsia="zh-CN"/>
              </w:rPr>
              <w:t xml:space="preserve">For each subcarrier spacing declared to be supported, the </w:t>
            </w:r>
            <w:r w:rsidRPr="00E92ECD">
              <w:rPr>
                <w:rFonts w:eastAsia="Times New Roman" w:cs="Times New Roman"/>
                <w:szCs w:val="20"/>
                <w:highlight w:val="cyan"/>
                <w:lang w:val="en-GB" w:eastAsia="zh-CN"/>
              </w:rPr>
              <w:t xml:space="preserve">tests for a specific </w:t>
            </w:r>
            <w:r w:rsidRPr="00E92ECD">
              <w:rPr>
                <w:rFonts w:eastAsia="Times New Roman" w:cs="Times New Roman"/>
                <w:snapToGrid w:val="0"/>
                <w:szCs w:val="20"/>
                <w:highlight w:val="cyan"/>
                <w:lang w:val="en-GB" w:eastAsia="zh-CN"/>
              </w:rPr>
              <w:t xml:space="preserve">channel bandwidth shall apply only </w:t>
            </w:r>
            <w:r w:rsidRPr="00E92ECD">
              <w:rPr>
                <w:rFonts w:eastAsia="Times New Roman" w:cs="Times New Roman"/>
                <w:szCs w:val="20"/>
                <w:highlight w:val="cyan"/>
                <w:lang w:val="en-GB" w:eastAsia="zh-CN"/>
              </w:rPr>
              <w:t>if the BS supports it</w:t>
            </w:r>
            <w:r w:rsidRPr="00E92ECD">
              <w:rPr>
                <w:rFonts w:eastAsia="Times New Roman" w:cs="Times New Roman"/>
                <w:szCs w:val="20"/>
                <w:lang w:val="en-GB" w:eastAsia="zh-CN"/>
              </w:rPr>
              <w:t xml:space="preserve"> (see D.14 in table 4.6-1).</w:t>
            </w:r>
          </w:p>
          <w:p w14:paraId="094DA611" w14:textId="458ABF0B" w:rsidR="00E92ECD" w:rsidRPr="00E92ECD" w:rsidRDefault="00E92ECD" w:rsidP="00E92ECD">
            <w:pPr>
              <w:spacing w:after="180"/>
              <w:rPr>
                <w:rFonts w:eastAsia="Times New Roman" w:cs="Times New Roman"/>
                <w:szCs w:val="20"/>
                <w:lang w:val="en-GB"/>
              </w:rPr>
            </w:pPr>
            <w:r w:rsidRPr="00E92ECD">
              <w:rPr>
                <w:rFonts w:eastAsia="Times New Roman" w:cs="Times New Roman"/>
                <w:szCs w:val="20"/>
                <w:lang w:val="en-GB"/>
              </w:rPr>
              <w:t>Unless otherwise stated, f</w:t>
            </w:r>
            <w:r w:rsidRPr="00E92ECD">
              <w:rPr>
                <w:rFonts w:eastAsia="Times New Roman" w:cs="Times New Roman"/>
                <w:szCs w:val="20"/>
                <w:lang w:val="en-GB" w:eastAsia="zh-CN"/>
              </w:rPr>
              <w:t xml:space="preserve">or each subcarrier spacing declared to be supported, the </w:t>
            </w:r>
            <w:r w:rsidRPr="00E92ECD">
              <w:rPr>
                <w:rFonts w:eastAsia="Times New Roman" w:cs="Times New Roman"/>
                <w:szCs w:val="20"/>
                <w:highlight w:val="cyan"/>
                <w:lang w:val="en-GB" w:eastAsia="zh-CN"/>
              </w:rPr>
              <w:t>tests shall be done only for the widest supported channel bandwidth</w:t>
            </w:r>
            <w:r w:rsidRPr="00E92ECD">
              <w:rPr>
                <w:rFonts w:eastAsia="Times New Roman" w:cs="Times New Roman"/>
                <w:szCs w:val="20"/>
                <w:lang w:val="en-GB" w:eastAsia="zh-CN"/>
              </w:rPr>
              <w:t xml:space="preserve">. If performance requirement is not specified for this </w:t>
            </w:r>
            <w:r w:rsidRPr="00E92ECD">
              <w:rPr>
                <w:rFonts w:eastAsia="Times New Roman" w:cs="Times New Roman"/>
                <w:szCs w:val="20"/>
                <w:lang w:val="en-GB"/>
              </w:rPr>
              <w:t xml:space="preserve">widest supported </w:t>
            </w:r>
            <w:r w:rsidRPr="00E92ECD">
              <w:rPr>
                <w:rFonts w:eastAsia="Times New Roman" w:cs="Times New Roman"/>
                <w:szCs w:val="20"/>
                <w:lang w:val="en-GB" w:eastAsia="zh-CN"/>
              </w:rPr>
              <w:t xml:space="preserve">channel bandwidth, the tests shall be done by </w:t>
            </w:r>
            <w:r w:rsidRPr="00E92ECD">
              <w:rPr>
                <w:rFonts w:eastAsia="Times New Roman" w:cs="Times New Roman"/>
                <w:szCs w:val="20"/>
                <w:lang w:val="en-GB"/>
              </w:rPr>
              <w:t xml:space="preserve">using performance requirement for the closest channel bandwidth lower than this widest supported bandwidth; the tested PRBs shall then be </w:t>
            </w:r>
            <w:proofErr w:type="spellStart"/>
            <w:r w:rsidRPr="00E92ECD">
              <w:rPr>
                <w:rFonts w:eastAsia="Times New Roman" w:cs="Times New Roman"/>
                <w:szCs w:val="20"/>
                <w:lang w:val="en-GB"/>
              </w:rPr>
              <w:t>centered</w:t>
            </w:r>
            <w:proofErr w:type="spellEnd"/>
            <w:r w:rsidRPr="00E92ECD">
              <w:rPr>
                <w:rFonts w:eastAsia="Times New Roman" w:cs="Times New Roman"/>
                <w:szCs w:val="20"/>
                <w:lang w:val="en-GB"/>
              </w:rPr>
              <w:t xml:space="preserve"> in this widest supported channel bandwidth.</w:t>
            </w:r>
          </w:p>
        </w:tc>
      </w:tr>
    </w:tbl>
    <w:p w14:paraId="2DEE1895" w14:textId="77777777" w:rsidR="00E92ECD" w:rsidRDefault="00E92ECD" w:rsidP="00E92ECD">
      <w:pPr>
        <w:rPr>
          <w:lang w:val="en-GB"/>
        </w:rPr>
      </w:pPr>
    </w:p>
    <w:p w14:paraId="67E25216" w14:textId="219EE0AC" w:rsidR="00E133E9" w:rsidRDefault="00BA4052" w:rsidP="005C23A4">
      <w:pPr>
        <w:rPr>
          <w:lang w:val="en-GB"/>
        </w:rPr>
      </w:pPr>
      <w:r>
        <w:rPr>
          <w:lang w:val="en-GB"/>
        </w:rPr>
        <w:t>Here we note that the intent is captured in the second paragraph, however</w:t>
      </w:r>
      <w:r w:rsidR="007B509C">
        <w:rPr>
          <w:lang w:val="en-GB"/>
        </w:rPr>
        <w:t xml:space="preserve"> following from real world experiences,</w:t>
      </w:r>
      <w:r>
        <w:rPr>
          <w:lang w:val="en-GB"/>
        </w:rPr>
        <w:t xml:space="preserve"> the first paragraph can be understood as contradicting the second</w:t>
      </w:r>
      <w:r w:rsidR="00D86918">
        <w:rPr>
          <w:lang w:val="en-GB"/>
        </w:rPr>
        <w:t>:</w:t>
      </w:r>
    </w:p>
    <w:p w14:paraId="73B7932E" w14:textId="06506DFD" w:rsidR="0046234F" w:rsidRDefault="0046234F" w:rsidP="00E77901">
      <w:pPr>
        <w:pStyle w:val="ListParagraph"/>
        <w:numPr>
          <w:ilvl w:val="0"/>
          <w:numId w:val="9"/>
        </w:numPr>
        <w:rPr>
          <w:lang w:val="en-GB"/>
        </w:rPr>
      </w:pPr>
      <w:r>
        <w:rPr>
          <w:lang w:val="en-GB"/>
        </w:rPr>
        <w:t xml:space="preserve">Paragraph 1: </w:t>
      </w:r>
    </w:p>
    <w:p w14:paraId="7CA9257E" w14:textId="03B49EF5" w:rsidR="0046234F" w:rsidRDefault="00B52387" w:rsidP="00E77901">
      <w:pPr>
        <w:pStyle w:val="ListParagraph"/>
        <w:numPr>
          <w:ilvl w:val="1"/>
          <w:numId w:val="9"/>
        </w:numPr>
        <w:rPr>
          <w:lang w:val="en-GB"/>
        </w:rPr>
      </w:pPr>
      <w:r>
        <w:rPr>
          <w:highlight w:val="cyan"/>
          <w:lang w:val="en-GB"/>
        </w:rPr>
        <w:t xml:space="preserve"> </w:t>
      </w:r>
      <w:r w:rsidR="00D86918">
        <w:rPr>
          <w:highlight w:val="cyan"/>
          <w:lang w:val="en-GB"/>
        </w:rPr>
        <w:t>“</w:t>
      </w:r>
      <w:r w:rsidR="0046234F" w:rsidRPr="00F50ECE">
        <w:rPr>
          <w:highlight w:val="cyan"/>
          <w:lang w:val="en-GB"/>
        </w:rPr>
        <w:t xml:space="preserve">Tests </w:t>
      </w:r>
      <w:r w:rsidR="00D86918">
        <w:rPr>
          <w:highlight w:val="cyan"/>
          <w:lang w:val="en-GB"/>
        </w:rPr>
        <w:t xml:space="preserve">… </w:t>
      </w:r>
      <w:r w:rsidR="00F50ECE" w:rsidRPr="00F50ECE">
        <w:rPr>
          <w:highlight w:val="cyan"/>
          <w:lang w:val="en-GB"/>
        </w:rPr>
        <w:t xml:space="preserve">shall </w:t>
      </w:r>
      <w:r w:rsidR="0046234F" w:rsidRPr="00F50ECE">
        <w:rPr>
          <w:highlight w:val="cyan"/>
          <w:lang w:val="en-GB"/>
        </w:rPr>
        <w:t>apply</w:t>
      </w:r>
      <w:r w:rsidR="00D86918" w:rsidRPr="00D86918">
        <w:rPr>
          <w:highlight w:val="cyan"/>
          <w:lang w:val="en-GB"/>
        </w:rPr>
        <w:t>”</w:t>
      </w:r>
      <w:r w:rsidR="0046234F">
        <w:rPr>
          <w:lang w:val="en-GB"/>
        </w:rPr>
        <w:t xml:space="preserve"> for each, i.e., all, supported CBW.</w:t>
      </w:r>
    </w:p>
    <w:p w14:paraId="72B387C3" w14:textId="11C68B52" w:rsidR="0046234F" w:rsidRDefault="0046234F" w:rsidP="00E77901">
      <w:pPr>
        <w:pStyle w:val="ListParagraph"/>
        <w:numPr>
          <w:ilvl w:val="0"/>
          <w:numId w:val="9"/>
        </w:numPr>
        <w:rPr>
          <w:lang w:val="en-GB"/>
        </w:rPr>
      </w:pPr>
      <w:r>
        <w:rPr>
          <w:lang w:val="en-GB"/>
        </w:rPr>
        <w:t xml:space="preserve">Paragraph </w:t>
      </w:r>
      <w:r w:rsidR="00C1303F">
        <w:rPr>
          <w:lang w:val="en-GB"/>
        </w:rPr>
        <w:t>2</w:t>
      </w:r>
      <w:r>
        <w:rPr>
          <w:lang w:val="en-GB"/>
        </w:rPr>
        <w:t xml:space="preserve">: </w:t>
      </w:r>
    </w:p>
    <w:p w14:paraId="0CEED49D" w14:textId="325A7411" w:rsidR="0046234F" w:rsidRPr="0046234F" w:rsidRDefault="00B52387" w:rsidP="00E77901">
      <w:pPr>
        <w:pStyle w:val="ListParagraph"/>
        <w:numPr>
          <w:ilvl w:val="1"/>
          <w:numId w:val="9"/>
        </w:numPr>
        <w:rPr>
          <w:lang w:val="en-GB"/>
        </w:rPr>
      </w:pPr>
      <w:r>
        <w:rPr>
          <w:highlight w:val="cyan"/>
          <w:lang w:val="en-GB"/>
        </w:rPr>
        <w:t xml:space="preserve"> </w:t>
      </w:r>
      <w:r w:rsidR="00D86918">
        <w:rPr>
          <w:highlight w:val="cyan"/>
          <w:lang w:val="en-GB"/>
        </w:rPr>
        <w:t>“</w:t>
      </w:r>
      <w:r w:rsidR="0046234F" w:rsidRPr="00F50ECE">
        <w:rPr>
          <w:highlight w:val="cyan"/>
          <w:lang w:val="en-GB"/>
        </w:rPr>
        <w:t>Tests shall be done</w:t>
      </w:r>
      <w:r w:rsidR="00D86918" w:rsidRPr="00C1303F">
        <w:rPr>
          <w:highlight w:val="cyan"/>
          <w:lang w:val="en-GB"/>
        </w:rPr>
        <w:t>”</w:t>
      </w:r>
      <w:r w:rsidR="0046234F" w:rsidRPr="0046234F">
        <w:rPr>
          <w:lang w:val="en-GB"/>
        </w:rPr>
        <w:t xml:space="preserve"> only for the widest supported channel bandwidth</w:t>
      </w:r>
      <w:r w:rsidR="0046234F">
        <w:rPr>
          <w:lang w:val="en-GB"/>
        </w:rPr>
        <w:t>.</w:t>
      </w:r>
    </w:p>
    <w:p w14:paraId="7476D5D6" w14:textId="24F5B9C9" w:rsidR="00A10EC5" w:rsidRDefault="00D86918" w:rsidP="005C23A4">
      <w:pPr>
        <w:rPr>
          <w:lang w:val="en-GB"/>
        </w:rPr>
      </w:pPr>
      <w:r>
        <w:rPr>
          <w:lang w:val="en-GB"/>
        </w:rPr>
        <w:t xml:space="preserve">In our understanding “shall apply” has the same meaning as “shall be done”, hence causing </w:t>
      </w:r>
      <w:r w:rsidR="00A10EC5">
        <w:rPr>
          <w:lang w:val="en-GB"/>
        </w:rPr>
        <w:t>a contradiction. We note that there is a difference between “shall apply” (r</w:t>
      </w:r>
      <w:r w:rsidR="00A10EC5" w:rsidRPr="00A10EC5">
        <w:rPr>
          <w:lang w:val="en-GB"/>
        </w:rPr>
        <w:t>equirement</w:t>
      </w:r>
      <w:r w:rsidR="00A10EC5">
        <w:rPr>
          <w:lang w:val="en-GB"/>
        </w:rPr>
        <w:t>) and “can apply” (p</w:t>
      </w:r>
      <w:r w:rsidR="00A10EC5" w:rsidRPr="00A10EC5">
        <w:rPr>
          <w:lang w:val="en-GB"/>
        </w:rPr>
        <w:t>ossibility and capability</w:t>
      </w:r>
      <w:r w:rsidR="00A10EC5">
        <w:rPr>
          <w:lang w:val="en-GB"/>
        </w:rPr>
        <w:t xml:space="preserve">) </w:t>
      </w:r>
      <w:r w:rsidR="0084365A">
        <w:rPr>
          <w:lang w:val="en-GB"/>
        </w:rPr>
        <w:t xml:space="preserve">(see TS </w:t>
      </w:r>
      <w:r w:rsidR="00A10EC5">
        <w:rPr>
          <w:lang w:val="en-GB"/>
        </w:rPr>
        <w:t>21.801, Annex E</w:t>
      </w:r>
      <w:r w:rsidR="0084365A">
        <w:rPr>
          <w:lang w:val="en-GB"/>
        </w:rPr>
        <w:t>)</w:t>
      </w:r>
      <w:r w:rsidR="00A10EC5">
        <w:rPr>
          <w:lang w:val="en-GB"/>
        </w:rPr>
        <w:t>.</w:t>
      </w:r>
    </w:p>
    <w:p w14:paraId="3B0A506F" w14:textId="75B06211" w:rsidR="00D86918" w:rsidRDefault="00A10EC5" w:rsidP="005C23A4">
      <w:pPr>
        <w:rPr>
          <w:lang w:val="en-GB"/>
        </w:rPr>
      </w:pPr>
      <w:r>
        <w:rPr>
          <w:lang w:val="en-GB"/>
        </w:rPr>
        <w:t xml:space="preserve">It is our understanding that the first paragraph is </w:t>
      </w:r>
      <w:r w:rsidR="009C2113">
        <w:rPr>
          <w:lang w:val="en-GB"/>
        </w:rPr>
        <w:t>meant</w:t>
      </w:r>
      <w:r>
        <w:rPr>
          <w:lang w:val="en-GB"/>
        </w:rPr>
        <w:t xml:space="preserve"> to indicate that test requirements apply for all SCS/CBW combinations declared to be supported, even if they</w:t>
      </w:r>
      <w:r w:rsidR="00852EDB">
        <w:rPr>
          <w:lang w:val="en-GB"/>
        </w:rPr>
        <w:t xml:space="preserve"> (or those that)</w:t>
      </w:r>
      <w:r>
        <w:rPr>
          <w:lang w:val="en-GB"/>
        </w:rPr>
        <w:t xml:space="preserve"> are not tested, i.e., a deploying entity can </w:t>
      </w:r>
      <w:r w:rsidR="00F318D7">
        <w:rPr>
          <w:lang w:val="en-GB"/>
        </w:rPr>
        <w:t>assume</w:t>
      </w:r>
      <w:r>
        <w:rPr>
          <w:lang w:val="en-GB"/>
        </w:rPr>
        <w:t xml:space="preserve"> that a standard conforming product achieves the indicated performance</w:t>
      </w:r>
      <w:r w:rsidR="002F115E">
        <w:rPr>
          <w:lang w:val="en-GB"/>
        </w:rPr>
        <w:t xml:space="preserve"> for all supported CBWs</w:t>
      </w:r>
      <w:r>
        <w:rPr>
          <w:lang w:val="en-GB"/>
        </w:rPr>
        <w:t>.</w:t>
      </w:r>
      <w:r>
        <w:rPr>
          <w:lang w:val="en-GB"/>
        </w:rPr>
        <w:br/>
        <w:t>While the second paragraph is supposed to indicate that not all applicable test requirements need to be tested; just passing the largest CBW is enough to indicate compliance with all applicable test requirements.</w:t>
      </w:r>
    </w:p>
    <w:p w14:paraId="7CC75F86" w14:textId="21C4C5D1" w:rsidR="00D86918" w:rsidRDefault="00D86918" w:rsidP="005C23A4">
      <w:pPr>
        <w:rPr>
          <w:lang w:val="en-GB"/>
        </w:rPr>
      </w:pPr>
    </w:p>
    <w:p w14:paraId="14E59DBF" w14:textId="4D214CF0" w:rsidR="007B509C" w:rsidRDefault="007B509C" w:rsidP="005C23A4">
      <w:pPr>
        <w:rPr>
          <w:lang w:val="en-GB"/>
        </w:rPr>
      </w:pPr>
      <w:r>
        <w:rPr>
          <w:lang w:val="en-GB"/>
        </w:rPr>
        <w:t>To align the specification text with our understanding of the intention, we proposed the following change</w:t>
      </w:r>
      <w:r w:rsidR="009C2113">
        <w:rPr>
          <w:lang w:val="en-GB"/>
        </w:rPr>
        <w:t>s</w:t>
      </w:r>
      <w:r>
        <w:rPr>
          <w:lang w:val="en-GB"/>
        </w:rPr>
        <w:t xml:space="preserve"> in the CR</w:t>
      </w:r>
      <w:r w:rsidR="009C2113">
        <w:rPr>
          <w:lang w:val="en-GB"/>
        </w:rPr>
        <w:t xml:space="preserve"> </w:t>
      </w:r>
      <w:r w:rsidR="0084365A">
        <w:rPr>
          <w:lang w:val="en-GB"/>
        </w:rPr>
        <w:fldChar w:fldCharType="begin"/>
      </w:r>
      <w:r w:rsidR="0084365A">
        <w:rPr>
          <w:lang w:val="en-GB"/>
        </w:rPr>
        <w:instrText xml:space="preserve"> REF _Ref61551610 \r \h </w:instrText>
      </w:r>
      <w:r w:rsidR="0084365A">
        <w:rPr>
          <w:lang w:val="en-GB"/>
        </w:rPr>
      </w:r>
      <w:r w:rsidR="0084365A">
        <w:rPr>
          <w:lang w:val="en-GB"/>
        </w:rPr>
        <w:fldChar w:fldCharType="separate"/>
      </w:r>
      <w:r w:rsidR="0084365A">
        <w:rPr>
          <w:lang w:val="en-GB"/>
        </w:rPr>
        <w:t>[2]</w:t>
      </w:r>
      <w:r w:rsidR="0084365A">
        <w:rPr>
          <w:lang w:val="en-GB"/>
        </w:rPr>
        <w:fldChar w:fldCharType="end"/>
      </w:r>
      <w:r w:rsidR="0012182B">
        <w:rPr>
          <w:lang w:val="en-GB"/>
        </w:rPr>
        <w:t xml:space="preserve"> </w:t>
      </w:r>
      <w:r w:rsidR="009C2113">
        <w:rPr>
          <w:lang w:val="en-GB"/>
        </w:rPr>
        <w:t>(one example):</w:t>
      </w:r>
    </w:p>
    <w:tbl>
      <w:tblPr>
        <w:tblStyle w:val="TableGrid"/>
        <w:tblW w:w="4500" w:type="pct"/>
        <w:jc w:val="center"/>
        <w:tblLook w:val="04A0" w:firstRow="1" w:lastRow="0" w:firstColumn="1" w:lastColumn="0" w:noHBand="0" w:noVBand="1"/>
      </w:tblPr>
      <w:tblGrid>
        <w:gridCol w:w="8655"/>
      </w:tblGrid>
      <w:tr w:rsidR="007B509C" w14:paraId="21C06D74" w14:textId="77777777" w:rsidTr="007E591D">
        <w:trPr>
          <w:jc w:val="center"/>
        </w:trPr>
        <w:tc>
          <w:tcPr>
            <w:tcW w:w="8655" w:type="dxa"/>
            <w:tcBorders>
              <w:top w:val="single" w:sz="4" w:space="0" w:color="auto"/>
              <w:left w:val="single" w:sz="4" w:space="0" w:color="auto"/>
              <w:bottom w:val="single" w:sz="4" w:space="0" w:color="auto"/>
              <w:right w:val="single" w:sz="4" w:space="0" w:color="auto"/>
            </w:tcBorders>
          </w:tcPr>
          <w:p w14:paraId="08C4E36B" w14:textId="77777777" w:rsidR="007B509C" w:rsidRPr="00E92ECD" w:rsidRDefault="007B509C" w:rsidP="007E591D">
            <w:pPr>
              <w:keepNext/>
              <w:keepLines/>
              <w:spacing w:before="120" w:after="180"/>
              <w:ind w:left="1701" w:hanging="1701"/>
              <w:outlineLvl w:val="4"/>
              <w:rPr>
                <w:rFonts w:ascii="Arial" w:eastAsia="Times New Roman" w:hAnsi="Arial" w:cs="Times New Roman"/>
                <w:sz w:val="22"/>
                <w:szCs w:val="20"/>
                <w:lang w:val="en-GB" w:eastAsia="zh-CN"/>
              </w:rPr>
            </w:pPr>
            <w:r w:rsidRPr="00E92ECD">
              <w:rPr>
                <w:rFonts w:ascii="Arial" w:eastAsia="Times New Roman" w:hAnsi="Arial" w:cs="Times New Roman"/>
                <w:sz w:val="22"/>
                <w:szCs w:val="20"/>
                <w:lang w:val="en-GB"/>
              </w:rPr>
              <w:t>8.1.2.1</w:t>
            </w:r>
            <w:r w:rsidRPr="00E92ECD">
              <w:rPr>
                <w:rFonts w:ascii="Arial" w:eastAsia="Times New Roman" w:hAnsi="Arial" w:cs="Times New Roman"/>
                <w:sz w:val="22"/>
                <w:szCs w:val="20"/>
                <w:lang w:val="en-GB" w:eastAsia="zh-CN"/>
              </w:rPr>
              <w:t>.2</w:t>
            </w:r>
            <w:r w:rsidRPr="00E92ECD">
              <w:rPr>
                <w:rFonts w:ascii="Arial" w:eastAsia="Times New Roman" w:hAnsi="Arial" w:cs="Times New Roman"/>
                <w:sz w:val="22"/>
                <w:szCs w:val="20"/>
                <w:lang w:val="en-GB"/>
              </w:rPr>
              <w:tab/>
              <w:t>Applicability of requirements for different channel bandwidths</w:t>
            </w:r>
          </w:p>
          <w:p w14:paraId="0455476E" w14:textId="51FDDC43" w:rsidR="007B509C" w:rsidRPr="00E92ECD" w:rsidRDefault="007B509C" w:rsidP="007E591D">
            <w:pPr>
              <w:spacing w:after="180"/>
              <w:rPr>
                <w:rFonts w:eastAsia="Times New Roman" w:cs="Times New Roman"/>
                <w:szCs w:val="20"/>
                <w:lang w:val="en-GB" w:eastAsia="zh-CN"/>
              </w:rPr>
            </w:pPr>
            <w:r w:rsidRPr="00E92ECD">
              <w:rPr>
                <w:rFonts w:eastAsia="Times New Roman" w:cs="Times New Roman"/>
                <w:szCs w:val="20"/>
                <w:lang w:val="en-GB" w:eastAsia="zh-CN"/>
              </w:rPr>
              <w:t>For each subcarrier spacing declared to be supported, the test</w:t>
            </w:r>
            <w:r w:rsidRPr="00E92ECD">
              <w:rPr>
                <w:rFonts w:eastAsia="Times New Roman" w:cs="Times New Roman"/>
                <w:strike/>
                <w:color w:val="ED7D31" w:themeColor="accent2"/>
                <w:szCs w:val="20"/>
                <w:u w:val="single"/>
                <w:lang w:val="en-GB" w:eastAsia="zh-CN"/>
              </w:rPr>
              <w:t>s</w:t>
            </w:r>
            <w:r w:rsidRPr="00E92ECD">
              <w:rPr>
                <w:rFonts w:eastAsia="Times New Roman" w:cs="Times New Roman"/>
                <w:color w:val="ED7D31" w:themeColor="accent2"/>
                <w:szCs w:val="20"/>
                <w:u w:val="single"/>
                <w:lang w:val="en-GB" w:eastAsia="zh-CN"/>
              </w:rPr>
              <w:t xml:space="preserve"> </w:t>
            </w:r>
            <w:r w:rsidRPr="007B509C">
              <w:rPr>
                <w:rFonts w:eastAsia="Times New Roman" w:cs="Times New Roman"/>
                <w:color w:val="ED7D31" w:themeColor="accent2"/>
                <w:szCs w:val="20"/>
                <w:u w:val="single"/>
                <w:lang w:val="en-GB" w:eastAsia="zh-CN"/>
              </w:rPr>
              <w:t>requirements</w:t>
            </w:r>
            <w:r w:rsidRPr="007B509C">
              <w:rPr>
                <w:rFonts w:eastAsia="Times New Roman" w:cs="Times New Roman"/>
                <w:color w:val="ED7D31" w:themeColor="accent2"/>
                <w:szCs w:val="20"/>
                <w:lang w:val="en-GB" w:eastAsia="zh-CN"/>
              </w:rPr>
              <w:t xml:space="preserve"> </w:t>
            </w:r>
            <w:r w:rsidRPr="00E92ECD">
              <w:rPr>
                <w:rFonts w:eastAsia="Times New Roman" w:cs="Times New Roman"/>
                <w:szCs w:val="20"/>
                <w:lang w:val="en-GB" w:eastAsia="zh-CN"/>
              </w:rPr>
              <w:t xml:space="preserve">for a specific </w:t>
            </w:r>
            <w:r w:rsidRPr="00E92ECD">
              <w:rPr>
                <w:rFonts w:eastAsia="Times New Roman" w:cs="Times New Roman"/>
                <w:snapToGrid w:val="0"/>
                <w:szCs w:val="20"/>
                <w:lang w:val="en-GB" w:eastAsia="zh-CN"/>
              </w:rPr>
              <w:t xml:space="preserve">channel bandwidth shall apply only </w:t>
            </w:r>
            <w:r w:rsidRPr="00E92ECD">
              <w:rPr>
                <w:rFonts w:eastAsia="Times New Roman" w:cs="Times New Roman"/>
                <w:szCs w:val="20"/>
                <w:lang w:val="en-GB" w:eastAsia="zh-CN"/>
              </w:rPr>
              <w:t>if the BS supports it (see D.14 in table 4.6-1).</w:t>
            </w:r>
          </w:p>
          <w:p w14:paraId="56A20C58" w14:textId="77777777" w:rsidR="007B509C" w:rsidRPr="00E92ECD" w:rsidRDefault="007B509C" w:rsidP="007E591D">
            <w:pPr>
              <w:spacing w:after="180"/>
              <w:rPr>
                <w:rFonts w:eastAsia="Times New Roman" w:cs="Times New Roman"/>
                <w:szCs w:val="20"/>
                <w:lang w:val="en-GB"/>
              </w:rPr>
            </w:pPr>
            <w:r w:rsidRPr="00E92ECD">
              <w:rPr>
                <w:rFonts w:eastAsia="Times New Roman" w:cs="Times New Roman"/>
                <w:szCs w:val="20"/>
                <w:lang w:val="en-GB"/>
              </w:rPr>
              <w:t>Unless otherwise stated, f</w:t>
            </w:r>
            <w:r w:rsidRPr="00E92ECD">
              <w:rPr>
                <w:rFonts w:eastAsia="Times New Roman" w:cs="Times New Roman"/>
                <w:szCs w:val="20"/>
                <w:lang w:val="en-GB" w:eastAsia="zh-CN"/>
              </w:rPr>
              <w:t xml:space="preserve">or each subcarrier spacing declared to be supported, the tests shall be done only for the widest supported channel bandwidth. If performance requirement is not specified for this </w:t>
            </w:r>
            <w:r w:rsidRPr="00E92ECD">
              <w:rPr>
                <w:rFonts w:eastAsia="Times New Roman" w:cs="Times New Roman"/>
                <w:szCs w:val="20"/>
                <w:lang w:val="en-GB"/>
              </w:rPr>
              <w:t xml:space="preserve">widest supported </w:t>
            </w:r>
            <w:r w:rsidRPr="00E92ECD">
              <w:rPr>
                <w:rFonts w:eastAsia="Times New Roman" w:cs="Times New Roman"/>
                <w:szCs w:val="20"/>
                <w:lang w:val="en-GB" w:eastAsia="zh-CN"/>
              </w:rPr>
              <w:t xml:space="preserve">channel bandwidth, the tests shall be done by </w:t>
            </w:r>
            <w:r w:rsidRPr="00E92ECD">
              <w:rPr>
                <w:rFonts w:eastAsia="Times New Roman" w:cs="Times New Roman"/>
                <w:szCs w:val="20"/>
                <w:lang w:val="en-GB"/>
              </w:rPr>
              <w:t xml:space="preserve">using performance requirement for the closest channel bandwidth lower than this widest supported bandwidth; the tested PRBs shall then be </w:t>
            </w:r>
            <w:proofErr w:type="spellStart"/>
            <w:r w:rsidRPr="00E92ECD">
              <w:rPr>
                <w:rFonts w:eastAsia="Times New Roman" w:cs="Times New Roman"/>
                <w:szCs w:val="20"/>
                <w:lang w:val="en-GB"/>
              </w:rPr>
              <w:t>centered</w:t>
            </w:r>
            <w:proofErr w:type="spellEnd"/>
            <w:r w:rsidRPr="00E92ECD">
              <w:rPr>
                <w:rFonts w:eastAsia="Times New Roman" w:cs="Times New Roman"/>
                <w:szCs w:val="20"/>
                <w:lang w:val="en-GB"/>
              </w:rPr>
              <w:t xml:space="preserve"> in this widest supported channel bandwidth.</w:t>
            </w:r>
          </w:p>
        </w:tc>
      </w:tr>
    </w:tbl>
    <w:p w14:paraId="6E33BAAD" w14:textId="2BA608AF" w:rsidR="007B509C" w:rsidRDefault="007B509C" w:rsidP="007B509C">
      <w:pPr>
        <w:rPr>
          <w:lang w:val="en-GB"/>
        </w:rPr>
      </w:pPr>
    </w:p>
    <w:p w14:paraId="1BA7EC94" w14:textId="6E0B8887" w:rsidR="00A73D43" w:rsidRDefault="00A73D43" w:rsidP="007B509C">
      <w:pPr>
        <w:rPr>
          <w:lang w:val="en-GB"/>
        </w:rPr>
      </w:pPr>
      <w:r>
        <w:rPr>
          <w:lang w:val="en-GB"/>
        </w:rPr>
        <w:t>We see it of high importance that these applicability rules for different channel bandwidths are as clear and unmistakable as possible, since we observe many other WIs that are about to make agreements along the line of “re-use the Rel-15 SCS/CBW applicability rules”.</w:t>
      </w:r>
    </w:p>
    <w:p w14:paraId="524D814B" w14:textId="77777777" w:rsidR="00C66B74" w:rsidRDefault="00C66B74" w:rsidP="005C23A4">
      <w:pPr>
        <w:rPr>
          <w:lang w:val="en-GB"/>
        </w:rPr>
      </w:pPr>
    </w:p>
    <w:p w14:paraId="1E1D120B" w14:textId="5C49EDCF" w:rsidR="00E133E9" w:rsidRDefault="00E133E9" w:rsidP="005C23A4">
      <w:pPr>
        <w:rPr>
          <w:lang w:val="en-GB"/>
        </w:rPr>
      </w:pPr>
    </w:p>
    <w:p w14:paraId="1DB054D9" w14:textId="38026399" w:rsidR="007846BC" w:rsidRPr="0028713C" w:rsidRDefault="007846BC" w:rsidP="007846BC">
      <w:pPr>
        <w:pStyle w:val="RAN4H1"/>
      </w:pPr>
      <w:r>
        <w:lastRenderedPageBreak/>
        <w:t>Synchronization in conducted test setup</w:t>
      </w:r>
    </w:p>
    <w:p w14:paraId="4D3370F2" w14:textId="1BD8FD8B" w:rsidR="00E133E9" w:rsidRDefault="007D71AC" w:rsidP="005C23A4">
      <w:pPr>
        <w:rPr>
          <w:lang w:val="en-GB"/>
        </w:rPr>
      </w:pPr>
      <w:r>
        <w:rPr>
          <w:lang w:val="en-GB"/>
        </w:rPr>
        <w:t>During the ongoing discussion concerning the NR_IAB test setup, it was noted that provisions for</w:t>
      </w:r>
      <w:r w:rsidR="00002EFC">
        <w:rPr>
          <w:lang w:val="en-GB"/>
        </w:rPr>
        <w:t xml:space="preserve"> additionally</w:t>
      </w:r>
      <w:r>
        <w:rPr>
          <w:lang w:val="en-GB"/>
        </w:rPr>
        <w:t xml:space="preserve"> </w:t>
      </w:r>
      <w:r w:rsidR="00002EFC">
        <w:rPr>
          <w:lang w:val="en-GB"/>
        </w:rPr>
        <w:t>possible</w:t>
      </w:r>
      <w:r>
        <w:rPr>
          <w:lang w:val="en-GB"/>
        </w:rPr>
        <w:t xml:space="preserve"> </w:t>
      </w:r>
      <w:r w:rsidR="00B52387">
        <w:rPr>
          <w:lang w:val="en-GB"/>
        </w:rPr>
        <w:t>synchronization</w:t>
      </w:r>
      <w:r>
        <w:rPr>
          <w:lang w:val="en-GB"/>
        </w:rPr>
        <w:t xml:space="preserve"> signal</w:t>
      </w:r>
      <w:r w:rsidR="00002EFC">
        <w:rPr>
          <w:lang w:val="en-GB"/>
        </w:rPr>
        <w:t>s/sources</w:t>
      </w:r>
      <w:r>
        <w:rPr>
          <w:lang w:val="en-GB"/>
        </w:rPr>
        <w:t xml:space="preserve"> between TE and DUT (BS) are only made in the radiated </w:t>
      </w:r>
      <w:r w:rsidRPr="007D71AC">
        <w:rPr>
          <w:lang w:val="en-GB"/>
        </w:rPr>
        <w:t>conformance testing</w:t>
      </w:r>
      <w:r>
        <w:rPr>
          <w:lang w:val="en-GB"/>
        </w:rPr>
        <w:t xml:space="preserve"> specification </w:t>
      </w:r>
      <w:r w:rsidR="0084365A">
        <w:rPr>
          <w:lang w:val="en-GB"/>
        </w:rPr>
        <w:t xml:space="preserve">(TS </w:t>
      </w:r>
      <w:r w:rsidR="009C0613">
        <w:rPr>
          <w:lang w:val="en-GB"/>
        </w:rPr>
        <w:t>38.141-2</w:t>
      </w:r>
      <w:r w:rsidR="0084365A">
        <w:rPr>
          <w:lang w:val="en-GB"/>
        </w:rPr>
        <w:t>)</w:t>
      </w:r>
      <w:r>
        <w:rPr>
          <w:lang w:val="en-GB"/>
        </w:rPr>
        <w:t>:</w:t>
      </w:r>
    </w:p>
    <w:tbl>
      <w:tblPr>
        <w:tblStyle w:val="TableGrid"/>
        <w:tblW w:w="4500" w:type="pct"/>
        <w:jc w:val="center"/>
        <w:tblLook w:val="04A0" w:firstRow="1" w:lastRow="0" w:firstColumn="1" w:lastColumn="0" w:noHBand="0" w:noVBand="1"/>
      </w:tblPr>
      <w:tblGrid>
        <w:gridCol w:w="8655"/>
      </w:tblGrid>
      <w:tr w:rsidR="009C0613" w14:paraId="563536D6" w14:textId="77777777" w:rsidTr="007E591D">
        <w:trPr>
          <w:jc w:val="center"/>
        </w:trPr>
        <w:tc>
          <w:tcPr>
            <w:tcW w:w="8655" w:type="dxa"/>
            <w:tcBorders>
              <w:top w:val="single" w:sz="4" w:space="0" w:color="auto"/>
              <w:left w:val="single" w:sz="4" w:space="0" w:color="auto"/>
              <w:bottom w:val="single" w:sz="4" w:space="0" w:color="auto"/>
              <w:right w:val="single" w:sz="4" w:space="0" w:color="auto"/>
            </w:tcBorders>
          </w:tcPr>
          <w:p w14:paraId="680D06D3" w14:textId="7F9ED934" w:rsidR="009C0613" w:rsidRPr="00E92ECD" w:rsidRDefault="009C0613" w:rsidP="007E591D">
            <w:pPr>
              <w:keepNext/>
              <w:keepLines/>
              <w:spacing w:before="120" w:after="180"/>
              <w:ind w:left="1701" w:hanging="1701"/>
              <w:outlineLvl w:val="4"/>
              <w:rPr>
                <w:rFonts w:ascii="Arial" w:eastAsia="Times New Roman" w:hAnsi="Arial" w:cs="Times New Roman"/>
                <w:sz w:val="22"/>
                <w:szCs w:val="20"/>
                <w:lang w:val="en-GB" w:eastAsia="zh-CN"/>
              </w:rPr>
            </w:pPr>
            <w:r w:rsidRPr="00E92ECD">
              <w:rPr>
                <w:rFonts w:ascii="Arial" w:eastAsia="Times New Roman" w:hAnsi="Arial" w:cs="Times New Roman"/>
                <w:sz w:val="22"/>
                <w:szCs w:val="20"/>
                <w:lang w:val="en-GB"/>
              </w:rPr>
              <w:t>8.1</w:t>
            </w:r>
            <w:r>
              <w:rPr>
                <w:rFonts w:ascii="Arial" w:eastAsia="Times New Roman" w:hAnsi="Arial" w:cs="Times New Roman"/>
                <w:sz w:val="22"/>
                <w:szCs w:val="20"/>
                <w:lang w:val="en-GB"/>
              </w:rPr>
              <w:t>.0</w:t>
            </w:r>
            <w:r w:rsidRPr="00E92ECD">
              <w:rPr>
                <w:rFonts w:ascii="Arial" w:eastAsia="Times New Roman" w:hAnsi="Arial" w:cs="Times New Roman"/>
                <w:sz w:val="22"/>
                <w:szCs w:val="20"/>
                <w:lang w:val="en-GB"/>
              </w:rPr>
              <w:tab/>
            </w:r>
            <w:r w:rsidRPr="009C0613">
              <w:rPr>
                <w:rFonts w:ascii="Arial" w:eastAsia="Times New Roman" w:hAnsi="Arial" w:cs="Times New Roman"/>
                <w:sz w:val="22"/>
                <w:szCs w:val="20"/>
                <w:lang w:val="en-GB"/>
              </w:rPr>
              <w:t>Scope and definitions</w:t>
            </w:r>
          </w:p>
          <w:p w14:paraId="56CBACA2" w14:textId="7F0BEBAE" w:rsidR="009C0613" w:rsidRPr="00E92ECD" w:rsidRDefault="009C0613" w:rsidP="007E591D">
            <w:pPr>
              <w:spacing w:after="180"/>
              <w:rPr>
                <w:rFonts w:eastAsia="Times New Roman" w:cs="Times New Roman"/>
                <w:szCs w:val="20"/>
                <w:lang w:val="en-GB" w:eastAsia="zh-CN"/>
              </w:rPr>
            </w:pPr>
            <w:r>
              <w:rPr>
                <w:rFonts w:eastAsia="Times New Roman" w:cs="Times New Roman"/>
                <w:szCs w:val="20"/>
                <w:lang w:val="en-GB" w:eastAsia="zh-CN"/>
              </w:rPr>
              <w:t>[…]</w:t>
            </w:r>
          </w:p>
          <w:p w14:paraId="5EAAB6D7" w14:textId="7C303CB0" w:rsidR="009C0613" w:rsidRPr="00E92ECD" w:rsidRDefault="009C0613" w:rsidP="007E591D">
            <w:pPr>
              <w:spacing w:after="180"/>
              <w:rPr>
                <w:rFonts w:eastAsia="Times New Roman" w:cs="Times New Roman"/>
                <w:szCs w:val="20"/>
                <w:lang w:val="en-GB"/>
              </w:rPr>
            </w:pPr>
            <w:r w:rsidRPr="009C0613">
              <w:rPr>
                <w:rFonts w:eastAsia="Times New Roman" w:cs="Times New Roman"/>
                <w:szCs w:val="20"/>
                <w:lang w:val="en-GB"/>
              </w:rPr>
              <w:t>In tests performed with signal generators a synchronization signal may be provided from the BS to the signal generator, to enable correct timing of the wanted signal</w:t>
            </w:r>
            <w:r w:rsidRPr="00E92ECD">
              <w:rPr>
                <w:rFonts w:eastAsia="Times New Roman" w:cs="Times New Roman"/>
                <w:szCs w:val="20"/>
                <w:lang w:val="en-GB"/>
              </w:rPr>
              <w:t>.</w:t>
            </w:r>
          </w:p>
        </w:tc>
      </w:tr>
    </w:tbl>
    <w:p w14:paraId="52859CB0" w14:textId="61952DC9" w:rsidR="009C0613" w:rsidRDefault="009C0613" w:rsidP="009C0613">
      <w:pPr>
        <w:rPr>
          <w:lang w:val="en-GB"/>
        </w:rPr>
      </w:pPr>
    </w:p>
    <w:p w14:paraId="74C28D4F" w14:textId="666C08FB" w:rsidR="007D71AC" w:rsidRDefault="009C0613" w:rsidP="009C0613">
      <w:pPr>
        <w:rPr>
          <w:lang w:val="en-GB"/>
        </w:rPr>
      </w:pPr>
      <w:r>
        <w:rPr>
          <w:lang w:val="en-GB"/>
        </w:rPr>
        <w:t xml:space="preserve">Such a statement for optional and implementation specific provisioning of synchronization signals between the </w:t>
      </w:r>
      <w:r w:rsidR="00BD440B">
        <w:rPr>
          <w:lang w:val="en-GB"/>
        </w:rPr>
        <w:t>DUT (</w:t>
      </w:r>
      <w:r>
        <w:rPr>
          <w:lang w:val="en-GB"/>
        </w:rPr>
        <w:t>BS</w:t>
      </w:r>
      <w:r w:rsidR="00BD440B">
        <w:rPr>
          <w:lang w:val="en-GB"/>
        </w:rPr>
        <w:t>)</w:t>
      </w:r>
      <w:r>
        <w:rPr>
          <w:lang w:val="en-GB"/>
        </w:rPr>
        <w:t xml:space="preserve"> and the TE</w:t>
      </w:r>
      <w:r w:rsidR="00BD440B">
        <w:rPr>
          <w:lang w:val="en-GB"/>
        </w:rPr>
        <w:t xml:space="preserve"> (signal generator)</w:t>
      </w:r>
      <w:r>
        <w:rPr>
          <w:lang w:val="en-GB"/>
        </w:rPr>
        <w:t>, is missing from TS 38.141-</w:t>
      </w:r>
      <w:r w:rsidR="007D71AC">
        <w:rPr>
          <w:lang w:val="en-GB"/>
        </w:rPr>
        <w:t>1</w:t>
      </w:r>
      <w:r>
        <w:rPr>
          <w:lang w:val="en-GB"/>
        </w:rPr>
        <w:t>.</w:t>
      </w:r>
      <w:r w:rsidR="007D71AC">
        <w:rPr>
          <w:lang w:val="en-GB"/>
        </w:rPr>
        <w:t xml:space="preserve"> </w:t>
      </w:r>
      <w:r w:rsidR="00BD440B">
        <w:rPr>
          <w:lang w:val="en-GB"/>
        </w:rPr>
        <w:br/>
        <w:t>We note that the underlying technical reason is the same for both radiated and conducted test setups: A signal generator lacks the capability to synchronize to any downlink reference and synchronization signals. Furthermore, such reference signals are not expected to be sent in BS demodulation testing in the first place.</w:t>
      </w:r>
    </w:p>
    <w:p w14:paraId="59A16491" w14:textId="2E30C7B8" w:rsidR="00002EFC" w:rsidRDefault="00002EFC" w:rsidP="009C0613">
      <w:pPr>
        <w:rPr>
          <w:lang w:val="en-GB"/>
        </w:rPr>
      </w:pPr>
      <w:r>
        <w:rPr>
          <w:lang w:val="en-GB"/>
        </w:rPr>
        <w:t xml:space="preserve">This can lead to </w:t>
      </w:r>
      <w:r>
        <w:rPr>
          <w:noProof/>
        </w:rPr>
        <w:t>potentially requiring different baseband implemenations for the BS demodulation test mode depending on usage of OTA and conduted test setup</w:t>
      </w:r>
    </w:p>
    <w:p w14:paraId="0F0DF7AE" w14:textId="77777777" w:rsidR="00BD440B" w:rsidRDefault="00BD440B" w:rsidP="009C0613">
      <w:pPr>
        <w:rPr>
          <w:lang w:val="en-GB"/>
        </w:rPr>
      </w:pPr>
    </w:p>
    <w:p w14:paraId="6CBDB9D8" w14:textId="5078E5B8" w:rsidR="00BD440B" w:rsidRDefault="00BD440B" w:rsidP="00BD440B">
      <w:pPr>
        <w:rPr>
          <w:lang w:val="en-GB"/>
        </w:rPr>
      </w:pPr>
      <w:r>
        <w:rPr>
          <w:lang w:val="en-GB"/>
        </w:rPr>
        <w:t>To align the specification text and intent between radiated and conducted testing, we proposed the following changes in the CR</w:t>
      </w:r>
      <w:r w:rsidR="0012182B">
        <w:rPr>
          <w:lang w:val="en-GB"/>
        </w:rPr>
        <w:t xml:space="preserve"> </w:t>
      </w:r>
      <w:r w:rsidR="0084365A">
        <w:rPr>
          <w:lang w:val="en-GB"/>
        </w:rPr>
        <w:fldChar w:fldCharType="begin"/>
      </w:r>
      <w:r w:rsidR="0084365A">
        <w:rPr>
          <w:lang w:val="en-GB"/>
        </w:rPr>
        <w:instrText xml:space="preserve"> REF _Ref61551669 \r \h </w:instrText>
      </w:r>
      <w:r w:rsidR="0084365A">
        <w:rPr>
          <w:lang w:val="en-GB"/>
        </w:rPr>
      </w:r>
      <w:r w:rsidR="0084365A">
        <w:rPr>
          <w:lang w:val="en-GB"/>
        </w:rPr>
        <w:fldChar w:fldCharType="separate"/>
      </w:r>
      <w:r w:rsidR="0084365A">
        <w:rPr>
          <w:lang w:val="en-GB"/>
        </w:rPr>
        <w:t>[3]</w:t>
      </w:r>
      <w:r w:rsidR="0084365A">
        <w:rPr>
          <w:lang w:val="en-GB"/>
        </w:rPr>
        <w:fldChar w:fldCharType="end"/>
      </w:r>
      <w:r>
        <w:rPr>
          <w:lang w:val="en-GB"/>
        </w:rPr>
        <w:t xml:space="preserve"> (one example):</w:t>
      </w:r>
    </w:p>
    <w:tbl>
      <w:tblPr>
        <w:tblStyle w:val="TableGrid"/>
        <w:tblW w:w="4500" w:type="pct"/>
        <w:jc w:val="center"/>
        <w:tblLook w:val="04A0" w:firstRow="1" w:lastRow="0" w:firstColumn="1" w:lastColumn="0" w:noHBand="0" w:noVBand="1"/>
      </w:tblPr>
      <w:tblGrid>
        <w:gridCol w:w="8655"/>
      </w:tblGrid>
      <w:tr w:rsidR="00BD440B" w14:paraId="76C0F669" w14:textId="77777777" w:rsidTr="007E591D">
        <w:trPr>
          <w:jc w:val="center"/>
        </w:trPr>
        <w:tc>
          <w:tcPr>
            <w:tcW w:w="8655" w:type="dxa"/>
            <w:tcBorders>
              <w:top w:val="single" w:sz="4" w:space="0" w:color="auto"/>
              <w:left w:val="single" w:sz="4" w:space="0" w:color="auto"/>
              <w:bottom w:val="single" w:sz="4" w:space="0" w:color="auto"/>
              <w:right w:val="single" w:sz="4" w:space="0" w:color="auto"/>
            </w:tcBorders>
          </w:tcPr>
          <w:p w14:paraId="7540BB4E" w14:textId="77777777" w:rsidR="00BD440B" w:rsidRPr="00BD440B" w:rsidRDefault="00BD440B" w:rsidP="00BD440B">
            <w:pPr>
              <w:keepNext/>
              <w:keepLines/>
              <w:spacing w:before="120" w:after="180"/>
              <w:ind w:left="1134" w:hanging="1134"/>
              <w:outlineLvl w:val="2"/>
              <w:rPr>
                <w:rFonts w:ascii="Arial" w:eastAsia="Times New Roman" w:hAnsi="Arial" w:cs="Times New Roman"/>
                <w:sz w:val="28"/>
                <w:szCs w:val="20"/>
                <w:lang w:val="en-GB"/>
              </w:rPr>
            </w:pPr>
            <w:bookmarkStart w:id="11" w:name="_Toc21100090"/>
            <w:bookmarkStart w:id="12" w:name="_Toc29809888"/>
            <w:bookmarkStart w:id="13" w:name="_Toc36645273"/>
            <w:bookmarkStart w:id="14" w:name="_Toc37272327"/>
            <w:bookmarkStart w:id="15" w:name="_Toc45884573"/>
            <w:bookmarkStart w:id="16" w:name="_Toc53182596"/>
            <w:bookmarkStart w:id="17" w:name="_Toc58860337"/>
            <w:r w:rsidRPr="00BD440B">
              <w:rPr>
                <w:rFonts w:ascii="Arial" w:eastAsia="Times New Roman" w:hAnsi="Arial" w:cs="Times New Roman"/>
                <w:sz w:val="28"/>
                <w:szCs w:val="20"/>
                <w:lang w:val="en-GB"/>
              </w:rPr>
              <w:lastRenderedPageBreak/>
              <w:t>8.1.1</w:t>
            </w:r>
            <w:r w:rsidRPr="00BD440B">
              <w:rPr>
                <w:rFonts w:ascii="Arial" w:eastAsia="Times New Roman" w:hAnsi="Arial" w:cs="Times New Roman"/>
                <w:sz w:val="28"/>
                <w:szCs w:val="20"/>
                <w:lang w:val="en-GB"/>
              </w:rPr>
              <w:tab/>
              <w:t>Scope and definitions</w:t>
            </w:r>
            <w:bookmarkEnd w:id="11"/>
            <w:bookmarkEnd w:id="12"/>
            <w:bookmarkEnd w:id="13"/>
            <w:bookmarkEnd w:id="14"/>
            <w:bookmarkEnd w:id="15"/>
            <w:bookmarkEnd w:id="16"/>
            <w:bookmarkEnd w:id="17"/>
          </w:p>
          <w:p w14:paraId="4F5E9B6B" w14:textId="77777777" w:rsidR="00BD440B" w:rsidRPr="00BD440B" w:rsidRDefault="00BD440B" w:rsidP="00BD440B">
            <w:pPr>
              <w:spacing w:after="180"/>
              <w:rPr>
                <w:rFonts w:eastAsia="Times New Roman" w:cs="Times New Roman"/>
                <w:szCs w:val="20"/>
                <w:lang w:val="en-GB"/>
              </w:rPr>
            </w:pPr>
            <w:r w:rsidRPr="00BD440B">
              <w:rPr>
                <w:rFonts w:eastAsia="Times New Roman" w:cs="Times New Roman"/>
                <w:szCs w:val="20"/>
                <w:lang w:val="en-GB" w:eastAsia="ko-KR"/>
              </w:rPr>
              <w:t xml:space="preserve">Conducted performance requirements specify the ability of the </w:t>
            </w:r>
            <w:r w:rsidRPr="00BD440B">
              <w:rPr>
                <w:rFonts w:eastAsia="Times New Roman" w:cs="Times New Roman"/>
                <w:i/>
                <w:szCs w:val="20"/>
                <w:lang w:val="en-GB" w:eastAsia="ko-KR"/>
              </w:rPr>
              <w:t>BS type 1-C</w:t>
            </w:r>
            <w:r w:rsidRPr="00BD440B">
              <w:rPr>
                <w:rFonts w:eastAsia="Times New Roman" w:cs="Times New Roman"/>
                <w:szCs w:val="20"/>
                <w:lang w:val="en-GB" w:eastAsia="ko-KR"/>
              </w:rPr>
              <w:t xml:space="preserve"> or </w:t>
            </w:r>
            <w:r w:rsidRPr="00BD440B">
              <w:rPr>
                <w:rFonts w:eastAsia="Times New Roman" w:cs="Times New Roman"/>
                <w:i/>
                <w:szCs w:val="20"/>
                <w:lang w:val="en-GB" w:eastAsia="ko-KR"/>
              </w:rPr>
              <w:t>BS type 1-H</w:t>
            </w:r>
            <w:r w:rsidRPr="00BD440B">
              <w:rPr>
                <w:rFonts w:eastAsia="Times New Roman" w:cs="Times New Roman"/>
                <w:szCs w:val="20"/>
                <w:lang w:val="en-GB" w:eastAsia="ko-KR"/>
              </w:rPr>
              <w:t xml:space="preserve"> to correctly demodulate signals in various conditions and configurations. Conducted performance requirements are specified at the </w:t>
            </w:r>
            <w:r w:rsidRPr="00BD440B">
              <w:rPr>
                <w:rFonts w:eastAsia="Times New Roman" w:cs="Times New Roman"/>
                <w:i/>
                <w:szCs w:val="20"/>
                <w:lang w:val="en-GB"/>
              </w:rPr>
              <w:t>antenna connector(s)</w:t>
            </w:r>
            <w:r w:rsidRPr="00BD440B">
              <w:rPr>
                <w:rFonts w:eastAsia="Times New Roman" w:cs="Times New Roman"/>
                <w:szCs w:val="20"/>
                <w:lang w:val="en-GB"/>
              </w:rPr>
              <w:t xml:space="preserve"> (for </w:t>
            </w:r>
            <w:r w:rsidRPr="00BD440B">
              <w:rPr>
                <w:rFonts w:eastAsia="Times New Roman" w:cs="Times New Roman"/>
                <w:i/>
                <w:szCs w:val="20"/>
                <w:lang w:val="en-GB"/>
              </w:rPr>
              <w:t>BS type 1-C</w:t>
            </w:r>
            <w:r w:rsidRPr="00BD440B">
              <w:rPr>
                <w:rFonts w:eastAsia="Times New Roman" w:cs="Times New Roman"/>
                <w:szCs w:val="20"/>
                <w:lang w:val="en-GB"/>
              </w:rPr>
              <w:t xml:space="preserve">) and at the </w:t>
            </w:r>
            <w:r w:rsidRPr="00BD440B">
              <w:rPr>
                <w:rFonts w:eastAsia="Times New Roman" w:cs="Times New Roman"/>
                <w:i/>
                <w:szCs w:val="20"/>
                <w:lang w:val="en-GB"/>
              </w:rPr>
              <w:t>TAB connector(s)</w:t>
            </w:r>
            <w:r w:rsidRPr="00BD440B">
              <w:rPr>
                <w:rFonts w:eastAsia="Times New Roman" w:cs="Times New Roman"/>
                <w:szCs w:val="20"/>
                <w:lang w:val="en-GB"/>
              </w:rPr>
              <w:t xml:space="preserve"> (for </w:t>
            </w:r>
            <w:r w:rsidRPr="00BD440B">
              <w:rPr>
                <w:rFonts w:eastAsia="Times New Roman" w:cs="Times New Roman"/>
                <w:i/>
                <w:szCs w:val="20"/>
                <w:lang w:val="en-GB"/>
              </w:rPr>
              <w:t>BS type 1-H</w:t>
            </w:r>
            <w:r w:rsidRPr="00BD440B">
              <w:rPr>
                <w:rFonts w:eastAsia="Times New Roman" w:cs="Times New Roman"/>
                <w:szCs w:val="20"/>
                <w:lang w:val="en-GB"/>
              </w:rPr>
              <w:t>).</w:t>
            </w:r>
          </w:p>
          <w:p w14:paraId="7B7D29EA" w14:textId="77777777" w:rsidR="00BD440B" w:rsidRPr="00BD440B" w:rsidRDefault="00BD440B" w:rsidP="00BD440B">
            <w:pPr>
              <w:spacing w:after="180"/>
              <w:rPr>
                <w:rFonts w:eastAsia="Times New Roman" w:cs="Times New Roman"/>
                <w:szCs w:val="20"/>
                <w:lang w:val="en-GB" w:eastAsia="ko-KR"/>
              </w:rPr>
            </w:pPr>
            <w:r w:rsidRPr="00BD440B">
              <w:rPr>
                <w:rFonts w:eastAsia="Times New Roman" w:cs="Times New Roman"/>
                <w:szCs w:val="20"/>
                <w:lang w:val="en-GB"/>
              </w:rPr>
              <w:t>Conducted performance requirements for the BS are specified for the fixed reference channels and the propagation conditions defined in TS 38.104 [2] annex A and annex H, respectively. The requirements only apply to those FRCs that are supported by the BS.</w:t>
            </w:r>
          </w:p>
          <w:p w14:paraId="0BBDF23E" w14:textId="77777777" w:rsidR="00BD440B" w:rsidRPr="00BD440B" w:rsidRDefault="00BD440B" w:rsidP="00BD440B">
            <w:pPr>
              <w:spacing w:after="180"/>
              <w:rPr>
                <w:rFonts w:eastAsia="Times New Roman" w:cs="Times New Roman"/>
                <w:szCs w:val="20"/>
                <w:lang w:val="en-GB"/>
              </w:rPr>
            </w:pPr>
            <w:r w:rsidRPr="00BD440B">
              <w:rPr>
                <w:rFonts w:eastAsia="Times New Roman" w:cs="Times New Roman"/>
                <w:szCs w:val="20"/>
                <w:lang w:val="en-GB"/>
              </w:rPr>
              <w:t>Unless stated otherwise, performance requirements apply for a single carrier only. Performance requirements for a BS supporting CA are defined in terms of single carrier requirements.</w:t>
            </w:r>
          </w:p>
          <w:p w14:paraId="1102EE4C" w14:textId="77777777" w:rsidR="00BD440B" w:rsidRPr="00BD440B" w:rsidRDefault="00BD440B" w:rsidP="00BD440B">
            <w:pPr>
              <w:spacing w:after="180"/>
              <w:rPr>
                <w:rFonts w:eastAsia="Times New Roman" w:cs="Times New Roman"/>
                <w:szCs w:val="20"/>
                <w:lang w:val="en-GB"/>
              </w:rPr>
            </w:pPr>
            <w:r w:rsidRPr="00BD440B">
              <w:rPr>
                <w:rFonts w:eastAsia="Times New Roman" w:cs="Times New Roman"/>
                <w:szCs w:val="20"/>
                <w:lang w:val="en-GB"/>
              </w:rPr>
              <w:t xml:space="preserve">For FDD operation the requirements in clause 8 shall be met with the transmitter units associated with </w:t>
            </w:r>
            <w:r w:rsidRPr="00BD440B">
              <w:rPr>
                <w:rFonts w:eastAsia="Times New Roman" w:cs="Times New Roman"/>
                <w:i/>
                <w:szCs w:val="20"/>
                <w:lang w:val="en-GB"/>
              </w:rPr>
              <w:t>antenna connectors</w:t>
            </w:r>
            <w:r w:rsidRPr="00BD440B">
              <w:rPr>
                <w:rFonts w:eastAsia="Times New Roman" w:cs="Times New Roman"/>
                <w:szCs w:val="20"/>
                <w:lang w:val="en-GB"/>
              </w:rPr>
              <w:t xml:space="preserve"> (for </w:t>
            </w:r>
            <w:r w:rsidRPr="00BD440B">
              <w:rPr>
                <w:rFonts w:eastAsia="Times New Roman" w:cs="Times New Roman"/>
                <w:i/>
                <w:szCs w:val="20"/>
                <w:lang w:val="en-GB"/>
              </w:rPr>
              <w:t>BS type 1-C</w:t>
            </w:r>
            <w:r w:rsidRPr="00BD440B">
              <w:rPr>
                <w:rFonts w:eastAsia="Times New Roman" w:cs="Times New Roman"/>
                <w:szCs w:val="20"/>
                <w:lang w:val="en-GB"/>
              </w:rPr>
              <w:t xml:space="preserve">) or </w:t>
            </w:r>
            <w:r w:rsidRPr="00BD440B">
              <w:rPr>
                <w:rFonts w:eastAsia="Times New Roman" w:cs="Times New Roman"/>
                <w:i/>
                <w:szCs w:val="20"/>
                <w:lang w:val="en-GB"/>
              </w:rPr>
              <w:t>TAB connectors</w:t>
            </w:r>
            <w:r w:rsidRPr="00BD440B">
              <w:rPr>
                <w:rFonts w:eastAsia="Times New Roman" w:cs="Times New Roman"/>
                <w:szCs w:val="20"/>
                <w:lang w:val="en-GB"/>
              </w:rPr>
              <w:t xml:space="preserve"> (for </w:t>
            </w:r>
            <w:r w:rsidRPr="00BD440B">
              <w:rPr>
                <w:rFonts w:eastAsia="Times New Roman" w:cs="Times New Roman"/>
                <w:i/>
                <w:szCs w:val="20"/>
                <w:lang w:val="en-GB"/>
              </w:rPr>
              <w:t>BS type 1-H</w:t>
            </w:r>
            <w:r w:rsidRPr="00BD440B">
              <w:rPr>
                <w:rFonts w:eastAsia="Times New Roman" w:cs="Times New Roman"/>
                <w:szCs w:val="20"/>
                <w:lang w:val="en-GB"/>
              </w:rPr>
              <w:t xml:space="preserve">) in the </w:t>
            </w:r>
            <w:r w:rsidRPr="00BD440B">
              <w:rPr>
                <w:rFonts w:eastAsia="Times New Roman" w:cs="Times New Roman"/>
                <w:i/>
                <w:szCs w:val="20"/>
                <w:lang w:val="en-GB"/>
              </w:rPr>
              <w:t>operating</w:t>
            </w:r>
            <w:r w:rsidRPr="00BD440B">
              <w:rPr>
                <w:rFonts w:eastAsia="Times New Roman" w:cs="Times New Roman"/>
                <w:szCs w:val="20"/>
                <w:lang w:val="en-GB"/>
              </w:rPr>
              <w:t xml:space="preserve"> </w:t>
            </w:r>
            <w:r w:rsidRPr="00BD440B">
              <w:rPr>
                <w:rFonts w:eastAsia="Times New Roman" w:cs="Times New Roman"/>
                <w:i/>
                <w:szCs w:val="20"/>
                <w:lang w:val="en-GB"/>
              </w:rPr>
              <w:t>band</w:t>
            </w:r>
            <w:r w:rsidRPr="00BD440B">
              <w:rPr>
                <w:rFonts w:eastAsia="Times New Roman" w:cs="Times New Roman"/>
                <w:szCs w:val="20"/>
                <w:lang w:val="en-GB"/>
              </w:rPr>
              <w:t xml:space="preserve"> turned ON.</w:t>
            </w:r>
          </w:p>
          <w:p w14:paraId="387C8ECF" w14:textId="77777777" w:rsidR="00BD440B" w:rsidRPr="00BD440B" w:rsidRDefault="00BD440B" w:rsidP="00BD440B">
            <w:pPr>
              <w:keepLines/>
              <w:spacing w:after="180"/>
              <w:ind w:left="1135" w:hanging="851"/>
              <w:rPr>
                <w:rFonts w:eastAsia="Times New Roman" w:cs="Times New Roman"/>
                <w:szCs w:val="20"/>
                <w:lang w:val="en-GB"/>
              </w:rPr>
            </w:pPr>
            <w:r w:rsidRPr="00BD440B">
              <w:rPr>
                <w:rFonts w:eastAsia="Times New Roman" w:cs="Times New Roman"/>
                <w:szCs w:val="20"/>
                <w:lang w:val="en-GB"/>
              </w:rPr>
              <w:t>NOTE:</w:t>
            </w:r>
            <w:r w:rsidRPr="00BD440B">
              <w:rPr>
                <w:rFonts w:eastAsia="Times New Roman" w:cs="Times New Roman"/>
                <w:szCs w:val="20"/>
                <w:lang w:val="en-GB"/>
              </w:rPr>
              <w:tab/>
              <w:t xml:space="preserve">In normal operating conditions </w:t>
            </w:r>
            <w:r w:rsidRPr="00BD440B">
              <w:rPr>
                <w:rFonts w:eastAsia="Times New Roman" w:cs="Times New Roman"/>
                <w:i/>
                <w:szCs w:val="20"/>
                <w:lang w:val="en-GB"/>
              </w:rPr>
              <w:t>antenna connectors</w:t>
            </w:r>
            <w:r w:rsidRPr="00BD440B">
              <w:rPr>
                <w:rFonts w:eastAsia="Times New Roman" w:cs="Times New Roman"/>
                <w:szCs w:val="20"/>
                <w:lang w:val="en-GB"/>
              </w:rPr>
              <w:t xml:space="preserve"> (for </w:t>
            </w:r>
            <w:r w:rsidRPr="00BD440B">
              <w:rPr>
                <w:rFonts w:eastAsia="Times New Roman" w:cs="Times New Roman"/>
                <w:i/>
                <w:szCs w:val="20"/>
                <w:lang w:val="en-GB"/>
              </w:rPr>
              <w:t>BS type 1-C</w:t>
            </w:r>
            <w:r w:rsidRPr="00BD440B">
              <w:rPr>
                <w:rFonts w:eastAsia="Times New Roman" w:cs="Times New Roman"/>
                <w:szCs w:val="20"/>
                <w:lang w:val="en-GB"/>
              </w:rPr>
              <w:t xml:space="preserve">) or </w:t>
            </w:r>
            <w:r w:rsidRPr="00BD440B">
              <w:rPr>
                <w:rFonts w:eastAsia="Times New Roman" w:cs="Times New Roman"/>
                <w:i/>
                <w:szCs w:val="20"/>
                <w:lang w:val="en-GB"/>
              </w:rPr>
              <w:t>TAB connectors</w:t>
            </w:r>
            <w:r w:rsidRPr="00BD440B">
              <w:rPr>
                <w:rFonts w:eastAsia="Times New Roman" w:cs="Times New Roman"/>
                <w:szCs w:val="20"/>
                <w:lang w:val="en-GB"/>
              </w:rPr>
              <w:t xml:space="preserve"> (for </w:t>
            </w:r>
            <w:r w:rsidRPr="00BD440B">
              <w:rPr>
                <w:rFonts w:eastAsia="Times New Roman" w:cs="Times New Roman"/>
                <w:i/>
                <w:szCs w:val="20"/>
                <w:lang w:val="en-GB"/>
              </w:rPr>
              <w:t>BS type 1-H</w:t>
            </w:r>
            <w:r w:rsidRPr="00BD440B">
              <w:rPr>
                <w:rFonts w:eastAsia="Times New Roman" w:cs="Times New Roman"/>
                <w:szCs w:val="20"/>
                <w:lang w:val="en-GB"/>
              </w:rPr>
              <w:t>) in FDD operation are configured to transmit and receive at the same time. The associated transmitter unit(s) may be OFF for some of the tests.</w:t>
            </w:r>
          </w:p>
          <w:p w14:paraId="69299B74" w14:textId="05AD4506" w:rsidR="00BD440B" w:rsidRPr="00BD440B" w:rsidRDefault="00BD440B" w:rsidP="00BD440B">
            <w:pPr>
              <w:spacing w:after="180"/>
              <w:rPr>
                <w:rFonts w:eastAsia="Times New Roman" w:cs="Times New Roman"/>
                <w:color w:val="ED7D31" w:themeColor="accent2"/>
                <w:szCs w:val="20"/>
                <w:u w:val="single"/>
                <w:lang w:val="en-GB"/>
              </w:rPr>
            </w:pPr>
            <w:r w:rsidRPr="00BD440B">
              <w:rPr>
                <w:rFonts w:eastAsia="Times New Roman" w:cs="Times New Roman"/>
                <w:color w:val="ED7D31" w:themeColor="accent2"/>
                <w:szCs w:val="20"/>
                <w:u w:val="single"/>
                <w:lang w:val="en-GB"/>
              </w:rPr>
              <w:t>In tests performed with signal generators a synchronization signal may be provided from the BS to the signal generator, to enable correct timing of the wanted signal.</w:t>
            </w:r>
          </w:p>
          <w:p w14:paraId="1D7F73B1" w14:textId="37022A9D" w:rsidR="00BD440B" w:rsidRPr="00BD440B" w:rsidRDefault="00BD440B" w:rsidP="00BD440B">
            <w:pPr>
              <w:spacing w:after="180"/>
              <w:rPr>
                <w:rFonts w:eastAsia="Times New Roman" w:cs="Times New Roman"/>
                <w:szCs w:val="20"/>
                <w:lang w:val="en-GB"/>
              </w:rPr>
            </w:pPr>
            <w:r w:rsidRPr="00BD440B">
              <w:rPr>
                <w:rFonts w:eastAsia="Times New Roman" w:cs="Times New Roman"/>
                <w:szCs w:val="20"/>
                <w:lang w:val="en-GB"/>
              </w:rPr>
              <w:t xml:space="preserve">The SNR used in this clause is </w:t>
            </w:r>
            <w:r w:rsidRPr="00BD440B">
              <w:rPr>
                <w:rFonts w:eastAsia="Times New Roman" w:cs="Times New Roman"/>
                <w:szCs w:val="20"/>
                <w:lang w:val="en-GB" w:eastAsia="zh-CN"/>
              </w:rPr>
              <w:t xml:space="preserve">specified based on a single carrier and </w:t>
            </w:r>
            <w:r w:rsidRPr="00BD440B">
              <w:rPr>
                <w:rFonts w:eastAsia="Times New Roman" w:cs="Times New Roman"/>
                <w:szCs w:val="20"/>
                <w:lang w:val="en-GB"/>
              </w:rPr>
              <w:t>defined as:</w:t>
            </w:r>
          </w:p>
          <w:p w14:paraId="3D8614A2" w14:textId="77777777" w:rsidR="00BD440B" w:rsidRPr="00BD440B" w:rsidRDefault="00BD440B" w:rsidP="00BD440B">
            <w:pPr>
              <w:spacing w:after="180"/>
              <w:rPr>
                <w:rFonts w:eastAsia="Times New Roman" w:cs="Times New Roman"/>
                <w:szCs w:val="20"/>
                <w:lang w:val="en-GB"/>
              </w:rPr>
            </w:pPr>
            <w:r w:rsidRPr="00BD440B">
              <w:rPr>
                <w:rFonts w:eastAsia="Times New Roman" w:cs="Times New Roman"/>
                <w:szCs w:val="20"/>
                <w:lang w:val="en-GB"/>
              </w:rPr>
              <w:t>SNR = S / N</w:t>
            </w:r>
          </w:p>
          <w:p w14:paraId="5BD261B1" w14:textId="77777777" w:rsidR="00BD440B" w:rsidRPr="00BD440B" w:rsidRDefault="00BD440B" w:rsidP="00BD440B">
            <w:pPr>
              <w:spacing w:after="180"/>
              <w:rPr>
                <w:rFonts w:eastAsia="Times New Roman" w:cs="Times New Roman"/>
                <w:szCs w:val="20"/>
                <w:lang w:val="en-GB"/>
              </w:rPr>
            </w:pPr>
            <w:r w:rsidRPr="00BD440B">
              <w:rPr>
                <w:rFonts w:eastAsia="Times New Roman" w:cs="Times New Roman"/>
                <w:szCs w:val="20"/>
                <w:lang w:val="en-GB"/>
              </w:rPr>
              <w:t>Where:</w:t>
            </w:r>
          </w:p>
          <w:p w14:paraId="30FAB126" w14:textId="77777777" w:rsidR="00BD440B" w:rsidRPr="00BD440B" w:rsidRDefault="00BD440B" w:rsidP="00BD440B">
            <w:pPr>
              <w:tabs>
                <w:tab w:val="left" w:pos="709"/>
              </w:tabs>
              <w:spacing w:after="180"/>
              <w:ind w:left="704" w:hanging="420"/>
              <w:rPr>
                <w:rFonts w:eastAsia="Times New Roman" w:cs="Times New Roman"/>
                <w:szCs w:val="20"/>
                <w:lang w:val="en-GB"/>
              </w:rPr>
            </w:pPr>
            <w:r w:rsidRPr="00BD440B">
              <w:rPr>
                <w:rFonts w:eastAsia="Times New Roman" w:cs="Times New Roman"/>
                <w:szCs w:val="20"/>
                <w:lang w:val="en-GB"/>
              </w:rPr>
              <w:t>S</w:t>
            </w:r>
            <w:r w:rsidRPr="00BD440B">
              <w:rPr>
                <w:rFonts w:eastAsia="Times New Roman" w:cs="Times New Roman"/>
                <w:szCs w:val="20"/>
                <w:lang w:val="en-GB"/>
              </w:rPr>
              <w:tab/>
              <w:t xml:space="preserve">is the total signal energy in a slot on a single </w:t>
            </w:r>
            <w:r w:rsidRPr="00BD440B">
              <w:rPr>
                <w:rFonts w:eastAsia="Times New Roman" w:cs="Times New Roman"/>
                <w:i/>
                <w:szCs w:val="20"/>
                <w:lang w:val="en-GB"/>
              </w:rPr>
              <w:t>antenna connector</w:t>
            </w:r>
            <w:r w:rsidRPr="00BD440B">
              <w:rPr>
                <w:rFonts w:eastAsia="Times New Roman" w:cs="Times New Roman"/>
                <w:szCs w:val="20"/>
                <w:lang w:val="en-GB"/>
              </w:rPr>
              <w:t xml:space="preserve"> (for </w:t>
            </w:r>
            <w:r w:rsidRPr="00BD440B">
              <w:rPr>
                <w:rFonts w:eastAsia="Times New Roman" w:cs="Times New Roman"/>
                <w:i/>
                <w:szCs w:val="20"/>
                <w:lang w:val="en-GB"/>
              </w:rPr>
              <w:t>BS type 1-C</w:t>
            </w:r>
            <w:r w:rsidRPr="00BD440B">
              <w:rPr>
                <w:rFonts w:eastAsia="Times New Roman" w:cs="Times New Roman"/>
                <w:szCs w:val="20"/>
                <w:lang w:val="en-GB"/>
              </w:rPr>
              <w:t xml:space="preserve">) or on a single </w:t>
            </w:r>
            <w:r w:rsidRPr="00BD440B">
              <w:rPr>
                <w:rFonts w:eastAsia="Times New Roman" w:cs="Times New Roman"/>
                <w:i/>
                <w:szCs w:val="20"/>
                <w:lang w:val="en-GB"/>
              </w:rPr>
              <w:t>TAB connector</w:t>
            </w:r>
            <w:r w:rsidRPr="00BD440B">
              <w:rPr>
                <w:rFonts w:eastAsia="Times New Roman" w:cs="Times New Roman"/>
                <w:szCs w:val="20"/>
                <w:lang w:val="en-GB"/>
              </w:rPr>
              <w:t xml:space="preserve"> (for </w:t>
            </w:r>
            <w:r w:rsidRPr="00BD440B">
              <w:rPr>
                <w:rFonts w:eastAsia="Times New Roman" w:cs="Times New Roman"/>
                <w:i/>
                <w:szCs w:val="20"/>
                <w:lang w:val="en-GB"/>
              </w:rPr>
              <w:t>BS type 1-H</w:t>
            </w:r>
            <w:r w:rsidRPr="00BD440B">
              <w:rPr>
                <w:rFonts w:eastAsia="Times New Roman" w:cs="Times New Roman"/>
                <w:szCs w:val="20"/>
                <w:lang w:val="en-GB"/>
              </w:rPr>
              <w:t>).</w:t>
            </w:r>
          </w:p>
          <w:p w14:paraId="7144C831" w14:textId="5F219E41" w:rsidR="00BD440B" w:rsidRPr="0012182B" w:rsidRDefault="00BD440B" w:rsidP="0012182B">
            <w:pPr>
              <w:spacing w:after="180"/>
              <w:ind w:left="709" w:hanging="425"/>
              <w:rPr>
                <w:rFonts w:eastAsia="Times New Roman" w:cs="Times New Roman"/>
                <w:szCs w:val="20"/>
                <w:lang w:val="en-GB"/>
              </w:rPr>
            </w:pPr>
            <w:r w:rsidRPr="00BD440B">
              <w:rPr>
                <w:rFonts w:eastAsia="Times New Roman" w:cs="Times New Roman"/>
                <w:szCs w:val="20"/>
                <w:lang w:val="en-GB"/>
              </w:rPr>
              <w:t>N</w:t>
            </w:r>
            <w:r w:rsidRPr="00BD440B">
              <w:rPr>
                <w:rFonts w:eastAsia="Times New Roman" w:cs="Times New Roman"/>
                <w:szCs w:val="20"/>
                <w:lang w:val="en-GB"/>
              </w:rPr>
              <w:tab/>
              <w:t>is the noise energy in a bandwidth corresponding to the transmission bandwidth over the duration of a slot.</w:t>
            </w:r>
          </w:p>
        </w:tc>
      </w:tr>
    </w:tbl>
    <w:p w14:paraId="63BA08A9" w14:textId="75AF1282" w:rsidR="00BD440B" w:rsidRDefault="00BD440B" w:rsidP="00BD440B">
      <w:pPr>
        <w:rPr>
          <w:lang w:val="en-GB"/>
        </w:rPr>
      </w:pPr>
    </w:p>
    <w:p w14:paraId="5E3D8A42" w14:textId="79EDF7F0" w:rsidR="00C21ADB" w:rsidRDefault="00C21ADB" w:rsidP="005C23A4">
      <w:pPr>
        <w:rPr>
          <w:lang w:val="en-GB"/>
        </w:rPr>
      </w:pPr>
    </w:p>
    <w:p w14:paraId="394DBCF5" w14:textId="7656C5C3" w:rsidR="00C21ADB" w:rsidRDefault="00C21ADB" w:rsidP="005C23A4">
      <w:pPr>
        <w:rPr>
          <w:lang w:val="en-GB"/>
        </w:rPr>
      </w:pPr>
    </w:p>
    <w:p w14:paraId="7FB5D6AC" w14:textId="77777777" w:rsidR="00C21ADB" w:rsidRPr="0028713C" w:rsidRDefault="00C21ADB" w:rsidP="00C21ADB">
      <w:pPr>
        <w:pStyle w:val="RAN4H1"/>
      </w:pPr>
      <w:r w:rsidRPr="0028713C">
        <w:t>Conclusion</w:t>
      </w:r>
    </w:p>
    <w:p w14:paraId="36D95EDC" w14:textId="34E22D98" w:rsidR="003440CF" w:rsidRPr="003440CF" w:rsidRDefault="003440CF" w:rsidP="003440CF">
      <w:pPr>
        <w:rPr>
          <w:lang w:val="en-GB"/>
        </w:rPr>
      </w:pPr>
      <w:r>
        <w:rPr>
          <w:lang w:val="en-GB"/>
        </w:rPr>
        <w:t xml:space="preserve">In this contribution, we have explained and motivated our CRs introducing </w:t>
      </w:r>
      <w:r w:rsidR="00C922A6">
        <w:rPr>
          <w:lang w:val="en-GB"/>
        </w:rPr>
        <w:t xml:space="preserve">BS demodulation </w:t>
      </w:r>
      <w:r>
        <w:rPr>
          <w:lang w:val="en-GB"/>
        </w:rPr>
        <w:t>specification text changes pertaining to the a</w:t>
      </w:r>
      <w:r w:rsidRPr="003440CF">
        <w:rPr>
          <w:lang w:val="en-GB"/>
        </w:rPr>
        <w:t>pplicability of requirements for different channel bandwidths</w:t>
      </w:r>
      <w:r w:rsidR="00C922A6">
        <w:rPr>
          <w:lang w:val="en-GB"/>
        </w:rPr>
        <w:t xml:space="preserve"> and synchronization signals in conducted test setups.</w:t>
      </w:r>
    </w:p>
    <w:p w14:paraId="677597F8" w14:textId="4C18E9F9" w:rsidR="00FA1D51" w:rsidRDefault="00FA1D51" w:rsidP="00C21ADB">
      <w:pPr>
        <w:rPr>
          <w:lang w:val="en-GB"/>
        </w:rPr>
      </w:pPr>
    </w:p>
    <w:p w14:paraId="1E20828D" w14:textId="77777777" w:rsidR="00FA1D51" w:rsidRDefault="00FA1D51" w:rsidP="00C21ADB">
      <w:pPr>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1B1FC20" w14:textId="65776A8E" w:rsidR="0084365A" w:rsidRDefault="0084365A" w:rsidP="00E77901">
      <w:pPr>
        <w:pStyle w:val="ListParagraph"/>
        <w:numPr>
          <w:ilvl w:val="0"/>
          <w:numId w:val="7"/>
        </w:numPr>
        <w:ind w:right="-22"/>
        <w:rPr>
          <w:lang w:val="en-GB"/>
        </w:rPr>
      </w:pPr>
      <w:bookmarkStart w:id="18" w:name="_Ref61551515"/>
      <w:r w:rsidRPr="0084365A">
        <w:rPr>
          <w:lang w:val="en-GB"/>
        </w:rPr>
        <w:t>R4-1816346</w:t>
      </w:r>
      <w:r>
        <w:rPr>
          <w:lang w:val="en-GB"/>
        </w:rPr>
        <w:t xml:space="preserve">, </w:t>
      </w:r>
      <w:r w:rsidRPr="0084365A">
        <w:rPr>
          <w:lang w:val="en-GB"/>
        </w:rPr>
        <w:t>Way Forward for NR BS demodulation general part</w:t>
      </w:r>
      <w:r>
        <w:rPr>
          <w:lang w:val="en-GB"/>
        </w:rPr>
        <w:t xml:space="preserve">, </w:t>
      </w:r>
      <w:r w:rsidRPr="0084365A">
        <w:rPr>
          <w:lang w:val="en-GB"/>
        </w:rPr>
        <w:t xml:space="preserve">Huawei, </w:t>
      </w:r>
      <w:proofErr w:type="spellStart"/>
      <w:r w:rsidRPr="0084365A">
        <w:rPr>
          <w:lang w:val="en-GB"/>
        </w:rPr>
        <w:t>HiSilicon</w:t>
      </w:r>
      <w:proofErr w:type="spellEnd"/>
      <w:r>
        <w:rPr>
          <w:lang w:val="en-GB"/>
        </w:rPr>
        <w:t xml:space="preserve">, </w:t>
      </w:r>
      <w:r w:rsidRPr="0084365A">
        <w:rPr>
          <w:lang w:val="en-GB"/>
        </w:rPr>
        <w:t>RAN4#89</w:t>
      </w:r>
      <w:r>
        <w:rPr>
          <w:lang w:val="en-GB"/>
        </w:rPr>
        <w:t>.</w:t>
      </w:r>
      <w:bookmarkEnd w:id="18"/>
    </w:p>
    <w:p w14:paraId="313FAAEB" w14:textId="3F224500" w:rsidR="0084365A" w:rsidRDefault="0084365A" w:rsidP="00E77901">
      <w:pPr>
        <w:pStyle w:val="ListParagraph"/>
        <w:numPr>
          <w:ilvl w:val="0"/>
          <w:numId w:val="7"/>
        </w:numPr>
        <w:ind w:right="-22"/>
        <w:rPr>
          <w:lang w:val="en-GB"/>
        </w:rPr>
      </w:pPr>
      <w:bookmarkStart w:id="19" w:name="_Ref61551610"/>
      <w:r w:rsidRPr="0084365A">
        <w:rPr>
          <w:lang w:val="en-GB"/>
        </w:rPr>
        <w:t>R4-2100551</w:t>
      </w:r>
      <w:r>
        <w:rPr>
          <w:lang w:val="en-GB"/>
        </w:rPr>
        <w:t xml:space="preserve">, </w:t>
      </w:r>
      <w:r w:rsidRPr="0084365A">
        <w:rPr>
          <w:lang w:val="en-GB"/>
        </w:rPr>
        <w:t>CR for 38.141-1: BS demodulation different channel bandwidths applicability rules</w:t>
      </w:r>
      <w:r>
        <w:rPr>
          <w:lang w:val="en-GB"/>
        </w:rPr>
        <w:t>, Nokia, Nokia Shanghai Bell, RAN4#98-e.</w:t>
      </w:r>
    </w:p>
    <w:p w14:paraId="20BDF914" w14:textId="569AAFB7" w:rsidR="0084365A" w:rsidRDefault="0084365A" w:rsidP="00E77901">
      <w:pPr>
        <w:pStyle w:val="ListParagraph"/>
        <w:numPr>
          <w:ilvl w:val="0"/>
          <w:numId w:val="7"/>
        </w:numPr>
        <w:ind w:right="-22"/>
        <w:rPr>
          <w:lang w:val="en-GB"/>
        </w:rPr>
      </w:pPr>
      <w:bookmarkStart w:id="20" w:name="_Ref61551669"/>
      <w:r w:rsidRPr="0084365A">
        <w:rPr>
          <w:lang w:val="en-GB"/>
        </w:rPr>
        <w:t>R4-2100548</w:t>
      </w:r>
      <w:r>
        <w:rPr>
          <w:lang w:val="en-GB"/>
        </w:rPr>
        <w:t xml:space="preserve">, </w:t>
      </w:r>
      <w:r w:rsidRPr="0084365A">
        <w:rPr>
          <w:lang w:val="en-GB"/>
        </w:rPr>
        <w:t>CR for 38.141-1: BS demodulation synchronization in test setup</w:t>
      </w:r>
      <w:r>
        <w:rPr>
          <w:lang w:val="en-GB"/>
        </w:rPr>
        <w:t>, Nokia, Nokia Shanghai Bell, RAN4#98-e.</w:t>
      </w:r>
    </w:p>
    <w:bookmarkEnd w:id="19"/>
    <w:bookmarkEnd w:id="20"/>
    <w:p w14:paraId="37EF2252" w14:textId="77777777" w:rsidR="00B6418A" w:rsidRPr="00351A24" w:rsidRDefault="00B6418A" w:rsidP="00351A24">
      <w:pPr>
        <w:pStyle w:val="ListParagraph"/>
        <w:ind w:left="360" w:right="-22"/>
        <w:rPr>
          <w:lang w:val="en-GB"/>
        </w:rPr>
      </w:pPr>
    </w:p>
    <w:sectPr w:rsidR="00B6418A" w:rsidRPr="00351A2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6B473B9"/>
    <w:multiLevelType w:val="hybridMultilevel"/>
    <w:tmpl w:val="8A94EC8A"/>
    <w:lvl w:ilvl="0" w:tplc="0C22DCB6">
      <w:start w:val="1"/>
      <w:numFmt w:val="bullet"/>
      <w:lvlText w:val="•"/>
      <w:lvlJc w:val="left"/>
      <w:pPr>
        <w:tabs>
          <w:tab w:val="num" w:pos="720"/>
        </w:tabs>
        <w:ind w:left="720" w:hanging="360"/>
      </w:pPr>
      <w:rPr>
        <w:rFonts w:ascii="Arial" w:hAnsi="Arial" w:hint="default"/>
      </w:rPr>
    </w:lvl>
    <w:lvl w:ilvl="1" w:tplc="AC3A9D18">
      <w:numFmt w:val="bullet"/>
      <w:lvlText w:val="–"/>
      <w:lvlJc w:val="left"/>
      <w:pPr>
        <w:tabs>
          <w:tab w:val="num" w:pos="1440"/>
        </w:tabs>
        <w:ind w:left="1440" w:hanging="360"/>
      </w:pPr>
      <w:rPr>
        <w:rFonts w:ascii="Arial" w:hAnsi="Arial" w:hint="default"/>
      </w:rPr>
    </w:lvl>
    <w:lvl w:ilvl="2" w:tplc="2FC03D4E">
      <w:numFmt w:val="bullet"/>
      <w:lvlText w:val="•"/>
      <w:lvlJc w:val="left"/>
      <w:pPr>
        <w:tabs>
          <w:tab w:val="num" w:pos="2160"/>
        </w:tabs>
        <w:ind w:left="2160" w:hanging="360"/>
      </w:pPr>
      <w:rPr>
        <w:rFonts w:ascii="Arial" w:hAnsi="Arial" w:hint="default"/>
      </w:rPr>
    </w:lvl>
    <w:lvl w:ilvl="3" w:tplc="3EA83856">
      <w:numFmt w:val="bullet"/>
      <w:lvlText w:val="–"/>
      <w:lvlJc w:val="left"/>
      <w:pPr>
        <w:tabs>
          <w:tab w:val="num" w:pos="2880"/>
        </w:tabs>
        <w:ind w:left="2880" w:hanging="360"/>
      </w:pPr>
      <w:rPr>
        <w:rFonts w:ascii="Arial" w:hAnsi="Arial" w:hint="default"/>
      </w:rPr>
    </w:lvl>
    <w:lvl w:ilvl="4" w:tplc="ADFADAF2" w:tentative="1">
      <w:start w:val="1"/>
      <w:numFmt w:val="bullet"/>
      <w:lvlText w:val="•"/>
      <w:lvlJc w:val="left"/>
      <w:pPr>
        <w:tabs>
          <w:tab w:val="num" w:pos="3600"/>
        </w:tabs>
        <w:ind w:left="3600" w:hanging="360"/>
      </w:pPr>
      <w:rPr>
        <w:rFonts w:ascii="Arial" w:hAnsi="Arial" w:hint="default"/>
      </w:rPr>
    </w:lvl>
    <w:lvl w:ilvl="5" w:tplc="EF2C2EA0" w:tentative="1">
      <w:start w:val="1"/>
      <w:numFmt w:val="bullet"/>
      <w:lvlText w:val="•"/>
      <w:lvlJc w:val="left"/>
      <w:pPr>
        <w:tabs>
          <w:tab w:val="num" w:pos="4320"/>
        </w:tabs>
        <w:ind w:left="4320" w:hanging="360"/>
      </w:pPr>
      <w:rPr>
        <w:rFonts w:ascii="Arial" w:hAnsi="Arial" w:hint="default"/>
      </w:rPr>
    </w:lvl>
    <w:lvl w:ilvl="6" w:tplc="3E4E8180" w:tentative="1">
      <w:start w:val="1"/>
      <w:numFmt w:val="bullet"/>
      <w:lvlText w:val="•"/>
      <w:lvlJc w:val="left"/>
      <w:pPr>
        <w:tabs>
          <w:tab w:val="num" w:pos="5040"/>
        </w:tabs>
        <w:ind w:left="5040" w:hanging="360"/>
      </w:pPr>
      <w:rPr>
        <w:rFonts w:ascii="Arial" w:hAnsi="Arial" w:hint="default"/>
      </w:rPr>
    </w:lvl>
    <w:lvl w:ilvl="7" w:tplc="A2DC42D4" w:tentative="1">
      <w:start w:val="1"/>
      <w:numFmt w:val="bullet"/>
      <w:lvlText w:val="•"/>
      <w:lvlJc w:val="left"/>
      <w:pPr>
        <w:tabs>
          <w:tab w:val="num" w:pos="5760"/>
        </w:tabs>
        <w:ind w:left="5760" w:hanging="360"/>
      </w:pPr>
      <w:rPr>
        <w:rFonts w:ascii="Arial" w:hAnsi="Arial" w:hint="default"/>
      </w:rPr>
    </w:lvl>
    <w:lvl w:ilvl="8" w:tplc="4B5EB0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957449"/>
    <w:multiLevelType w:val="hybridMultilevel"/>
    <w:tmpl w:val="B824E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B442C29"/>
    <w:multiLevelType w:val="hybridMultilevel"/>
    <w:tmpl w:val="9A0C683E"/>
    <w:lvl w:ilvl="0" w:tplc="7ED88246">
      <w:start w:val="1"/>
      <w:numFmt w:val="bullet"/>
      <w:lvlText w:val="•"/>
      <w:lvlJc w:val="left"/>
      <w:pPr>
        <w:tabs>
          <w:tab w:val="num" w:pos="720"/>
        </w:tabs>
        <w:ind w:left="720" w:hanging="360"/>
      </w:pPr>
      <w:rPr>
        <w:rFonts w:ascii="Arial" w:hAnsi="Arial" w:hint="default"/>
      </w:rPr>
    </w:lvl>
    <w:lvl w:ilvl="1" w:tplc="2BD6265E">
      <w:numFmt w:val="bullet"/>
      <w:lvlText w:val="–"/>
      <w:lvlJc w:val="left"/>
      <w:pPr>
        <w:tabs>
          <w:tab w:val="num" w:pos="1440"/>
        </w:tabs>
        <w:ind w:left="1440" w:hanging="360"/>
      </w:pPr>
      <w:rPr>
        <w:rFonts w:ascii="Arial" w:hAnsi="Arial" w:hint="default"/>
      </w:rPr>
    </w:lvl>
    <w:lvl w:ilvl="2" w:tplc="49E89A10">
      <w:numFmt w:val="bullet"/>
      <w:lvlText w:val="•"/>
      <w:lvlJc w:val="left"/>
      <w:pPr>
        <w:tabs>
          <w:tab w:val="num" w:pos="2160"/>
        </w:tabs>
        <w:ind w:left="2160" w:hanging="360"/>
      </w:pPr>
      <w:rPr>
        <w:rFonts w:ascii="Arial" w:hAnsi="Arial" w:hint="default"/>
      </w:rPr>
    </w:lvl>
    <w:lvl w:ilvl="3" w:tplc="FC782EFE" w:tentative="1">
      <w:start w:val="1"/>
      <w:numFmt w:val="bullet"/>
      <w:lvlText w:val="•"/>
      <w:lvlJc w:val="left"/>
      <w:pPr>
        <w:tabs>
          <w:tab w:val="num" w:pos="2880"/>
        </w:tabs>
        <w:ind w:left="2880" w:hanging="360"/>
      </w:pPr>
      <w:rPr>
        <w:rFonts w:ascii="Arial" w:hAnsi="Arial" w:hint="default"/>
      </w:rPr>
    </w:lvl>
    <w:lvl w:ilvl="4" w:tplc="0FE62D48" w:tentative="1">
      <w:start w:val="1"/>
      <w:numFmt w:val="bullet"/>
      <w:lvlText w:val="•"/>
      <w:lvlJc w:val="left"/>
      <w:pPr>
        <w:tabs>
          <w:tab w:val="num" w:pos="3600"/>
        </w:tabs>
        <w:ind w:left="3600" w:hanging="360"/>
      </w:pPr>
      <w:rPr>
        <w:rFonts w:ascii="Arial" w:hAnsi="Arial" w:hint="default"/>
      </w:rPr>
    </w:lvl>
    <w:lvl w:ilvl="5" w:tplc="84B8E744" w:tentative="1">
      <w:start w:val="1"/>
      <w:numFmt w:val="bullet"/>
      <w:lvlText w:val="•"/>
      <w:lvlJc w:val="left"/>
      <w:pPr>
        <w:tabs>
          <w:tab w:val="num" w:pos="4320"/>
        </w:tabs>
        <w:ind w:left="4320" w:hanging="360"/>
      </w:pPr>
      <w:rPr>
        <w:rFonts w:ascii="Arial" w:hAnsi="Arial" w:hint="default"/>
      </w:rPr>
    </w:lvl>
    <w:lvl w:ilvl="6" w:tplc="ADC6F0E8" w:tentative="1">
      <w:start w:val="1"/>
      <w:numFmt w:val="bullet"/>
      <w:lvlText w:val="•"/>
      <w:lvlJc w:val="left"/>
      <w:pPr>
        <w:tabs>
          <w:tab w:val="num" w:pos="5040"/>
        </w:tabs>
        <w:ind w:left="5040" w:hanging="360"/>
      </w:pPr>
      <w:rPr>
        <w:rFonts w:ascii="Arial" w:hAnsi="Arial" w:hint="default"/>
      </w:rPr>
    </w:lvl>
    <w:lvl w:ilvl="7" w:tplc="75E42ADA" w:tentative="1">
      <w:start w:val="1"/>
      <w:numFmt w:val="bullet"/>
      <w:lvlText w:val="•"/>
      <w:lvlJc w:val="left"/>
      <w:pPr>
        <w:tabs>
          <w:tab w:val="num" w:pos="5760"/>
        </w:tabs>
        <w:ind w:left="5760" w:hanging="360"/>
      </w:pPr>
      <w:rPr>
        <w:rFonts w:ascii="Arial" w:hAnsi="Arial" w:hint="default"/>
      </w:rPr>
    </w:lvl>
    <w:lvl w:ilvl="8" w:tplc="3E66305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
  </w:num>
  <w:num w:numId="3">
    <w:abstractNumId w:val="3"/>
  </w:num>
  <w:num w:numId="4">
    <w:abstractNumId w:val="3"/>
    <w:lvlOverride w:ilvl="0">
      <w:startOverride w:val="1"/>
    </w:lvlOverride>
  </w:num>
  <w:num w:numId="5">
    <w:abstractNumId w:val="2"/>
    <w:lvlOverride w:ilvl="0">
      <w:startOverride w:val="1"/>
    </w:lvlOverride>
  </w:num>
  <w:num w:numId="6">
    <w:abstractNumId w:val="6"/>
  </w:num>
  <w:num w:numId="7">
    <w:abstractNumId w:val="0"/>
  </w:num>
  <w:num w:numId="8">
    <w:abstractNumId w:val="7"/>
  </w:num>
  <w:num w:numId="9">
    <w:abstractNumId w:val="5"/>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EFC"/>
    <w:rsid w:val="00004B74"/>
    <w:rsid w:val="00007DAC"/>
    <w:rsid w:val="00010647"/>
    <w:rsid w:val="00024D4F"/>
    <w:rsid w:val="0003174A"/>
    <w:rsid w:val="000505AC"/>
    <w:rsid w:val="00051DAE"/>
    <w:rsid w:val="00062576"/>
    <w:rsid w:val="0006734D"/>
    <w:rsid w:val="0007116F"/>
    <w:rsid w:val="00083AB5"/>
    <w:rsid w:val="00085B26"/>
    <w:rsid w:val="0008612A"/>
    <w:rsid w:val="00086C7E"/>
    <w:rsid w:val="00087118"/>
    <w:rsid w:val="00092FB6"/>
    <w:rsid w:val="000936D7"/>
    <w:rsid w:val="000957F1"/>
    <w:rsid w:val="00096593"/>
    <w:rsid w:val="00096F42"/>
    <w:rsid w:val="000A2329"/>
    <w:rsid w:val="000A460B"/>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0E91"/>
    <w:rsid w:val="00113EB6"/>
    <w:rsid w:val="0012068C"/>
    <w:rsid w:val="0012182B"/>
    <w:rsid w:val="00133979"/>
    <w:rsid w:val="00140A7B"/>
    <w:rsid w:val="00146E95"/>
    <w:rsid w:val="00151289"/>
    <w:rsid w:val="00152854"/>
    <w:rsid w:val="001558C6"/>
    <w:rsid w:val="001661C0"/>
    <w:rsid w:val="00167D05"/>
    <w:rsid w:val="0017054F"/>
    <w:rsid w:val="001745F8"/>
    <w:rsid w:val="001765A9"/>
    <w:rsid w:val="00181419"/>
    <w:rsid w:val="00183609"/>
    <w:rsid w:val="001838CF"/>
    <w:rsid w:val="00185E3E"/>
    <w:rsid w:val="001911B5"/>
    <w:rsid w:val="00196DDC"/>
    <w:rsid w:val="001A2C08"/>
    <w:rsid w:val="001A325B"/>
    <w:rsid w:val="001A3BA4"/>
    <w:rsid w:val="001A7E89"/>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5C43"/>
    <w:rsid w:val="002276BE"/>
    <w:rsid w:val="002328E5"/>
    <w:rsid w:val="002333B6"/>
    <w:rsid w:val="00233B90"/>
    <w:rsid w:val="00234C6B"/>
    <w:rsid w:val="00235F5C"/>
    <w:rsid w:val="00240E40"/>
    <w:rsid w:val="002425BC"/>
    <w:rsid w:val="00251266"/>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2D19"/>
    <w:rsid w:val="002C3172"/>
    <w:rsid w:val="002C3C2A"/>
    <w:rsid w:val="002C42E0"/>
    <w:rsid w:val="002C5A75"/>
    <w:rsid w:val="002D007E"/>
    <w:rsid w:val="002D10FA"/>
    <w:rsid w:val="002D4C55"/>
    <w:rsid w:val="002E2C04"/>
    <w:rsid w:val="002E789B"/>
    <w:rsid w:val="002F0AE1"/>
    <w:rsid w:val="002F115E"/>
    <w:rsid w:val="002F3C1D"/>
    <w:rsid w:val="002F53AA"/>
    <w:rsid w:val="00304D73"/>
    <w:rsid w:val="00304F07"/>
    <w:rsid w:val="00313A99"/>
    <w:rsid w:val="00313D35"/>
    <w:rsid w:val="00323912"/>
    <w:rsid w:val="0032511B"/>
    <w:rsid w:val="0033121B"/>
    <w:rsid w:val="003342A6"/>
    <w:rsid w:val="00335B04"/>
    <w:rsid w:val="0033676A"/>
    <w:rsid w:val="0033770D"/>
    <w:rsid w:val="003440CF"/>
    <w:rsid w:val="003444E4"/>
    <w:rsid w:val="00351A24"/>
    <w:rsid w:val="003542D7"/>
    <w:rsid w:val="003553DA"/>
    <w:rsid w:val="00355C1E"/>
    <w:rsid w:val="0036023F"/>
    <w:rsid w:val="00360976"/>
    <w:rsid w:val="003624F2"/>
    <w:rsid w:val="0036252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59"/>
    <w:rsid w:val="003B6765"/>
    <w:rsid w:val="003B76CE"/>
    <w:rsid w:val="003C060A"/>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6234F"/>
    <w:rsid w:val="00476E07"/>
    <w:rsid w:val="004770EF"/>
    <w:rsid w:val="00480B84"/>
    <w:rsid w:val="004900C0"/>
    <w:rsid w:val="0049206B"/>
    <w:rsid w:val="004A0531"/>
    <w:rsid w:val="004A180B"/>
    <w:rsid w:val="004A1D33"/>
    <w:rsid w:val="004A78ED"/>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64055"/>
    <w:rsid w:val="00567AE8"/>
    <w:rsid w:val="005836F8"/>
    <w:rsid w:val="00583ABC"/>
    <w:rsid w:val="00586D64"/>
    <w:rsid w:val="005874C6"/>
    <w:rsid w:val="005918FA"/>
    <w:rsid w:val="005934D0"/>
    <w:rsid w:val="00595E95"/>
    <w:rsid w:val="00596090"/>
    <w:rsid w:val="0059633F"/>
    <w:rsid w:val="00597FAF"/>
    <w:rsid w:val="005A47E5"/>
    <w:rsid w:val="005A7116"/>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2B12"/>
    <w:rsid w:val="00613549"/>
    <w:rsid w:val="00613BF4"/>
    <w:rsid w:val="006147DC"/>
    <w:rsid w:val="00617400"/>
    <w:rsid w:val="0063011D"/>
    <w:rsid w:val="00630CA4"/>
    <w:rsid w:val="006402D3"/>
    <w:rsid w:val="006442E4"/>
    <w:rsid w:val="00651170"/>
    <w:rsid w:val="006556FA"/>
    <w:rsid w:val="006563D9"/>
    <w:rsid w:val="00663830"/>
    <w:rsid w:val="00664950"/>
    <w:rsid w:val="00676348"/>
    <w:rsid w:val="00683220"/>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C6BF1"/>
    <w:rsid w:val="006D0A2E"/>
    <w:rsid w:val="006D0A67"/>
    <w:rsid w:val="006D0DF0"/>
    <w:rsid w:val="006D48AC"/>
    <w:rsid w:val="006E4815"/>
    <w:rsid w:val="006F09AC"/>
    <w:rsid w:val="006F1BCB"/>
    <w:rsid w:val="006F50FB"/>
    <w:rsid w:val="006F56C6"/>
    <w:rsid w:val="006F5709"/>
    <w:rsid w:val="00700908"/>
    <w:rsid w:val="00701D6D"/>
    <w:rsid w:val="00703321"/>
    <w:rsid w:val="00703AEC"/>
    <w:rsid w:val="00706867"/>
    <w:rsid w:val="00710A27"/>
    <w:rsid w:val="00710FDE"/>
    <w:rsid w:val="00712583"/>
    <w:rsid w:val="007145FF"/>
    <w:rsid w:val="007204B3"/>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46BC"/>
    <w:rsid w:val="00785232"/>
    <w:rsid w:val="0078609D"/>
    <w:rsid w:val="0078727A"/>
    <w:rsid w:val="00792CAE"/>
    <w:rsid w:val="007A0244"/>
    <w:rsid w:val="007A6D35"/>
    <w:rsid w:val="007B509C"/>
    <w:rsid w:val="007B5D28"/>
    <w:rsid w:val="007B68BF"/>
    <w:rsid w:val="007B6CEB"/>
    <w:rsid w:val="007C06B0"/>
    <w:rsid w:val="007C0D24"/>
    <w:rsid w:val="007C3ED0"/>
    <w:rsid w:val="007C4D9B"/>
    <w:rsid w:val="007C6469"/>
    <w:rsid w:val="007D043A"/>
    <w:rsid w:val="007D14B6"/>
    <w:rsid w:val="007D26E0"/>
    <w:rsid w:val="007D59DE"/>
    <w:rsid w:val="007D71AC"/>
    <w:rsid w:val="007E14C5"/>
    <w:rsid w:val="007E152F"/>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365A"/>
    <w:rsid w:val="008455D3"/>
    <w:rsid w:val="0084753E"/>
    <w:rsid w:val="00851A8E"/>
    <w:rsid w:val="00852EDB"/>
    <w:rsid w:val="00857ED6"/>
    <w:rsid w:val="00864D33"/>
    <w:rsid w:val="00867A62"/>
    <w:rsid w:val="00871CF7"/>
    <w:rsid w:val="00871D00"/>
    <w:rsid w:val="00873B37"/>
    <w:rsid w:val="00877B61"/>
    <w:rsid w:val="00880E45"/>
    <w:rsid w:val="008826C1"/>
    <w:rsid w:val="00885586"/>
    <w:rsid w:val="00892674"/>
    <w:rsid w:val="008A1BEC"/>
    <w:rsid w:val="008A4F5B"/>
    <w:rsid w:val="008A51B2"/>
    <w:rsid w:val="008A6574"/>
    <w:rsid w:val="008A7896"/>
    <w:rsid w:val="008B12A4"/>
    <w:rsid w:val="008B22F7"/>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91F3B"/>
    <w:rsid w:val="009A1082"/>
    <w:rsid w:val="009A179E"/>
    <w:rsid w:val="009A74C7"/>
    <w:rsid w:val="009B3904"/>
    <w:rsid w:val="009B6CB8"/>
    <w:rsid w:val="009C0613"/>
    <w:rsid w:val="009C2113"/>
    <w:rsid w:val="009C4C4E"/>
    <w:rsid w:val="009C64A0"/>
    <w:rsid w:val="009D14FE"/>
    <w:rsid w:val="009D213D"/>
    <w:rsid w:val="009D3564"/>
    <w:rsid w:val="009E101A"/>
    <w:rsid w:val="009E2B12"/>
    <w:rsid w:val="009E54CE"/>
    <w:rsid w:val="009F5766"/>
    <w:rsid w:val="009F5893"/>
    <w:rsid w:val="00A047B9"/>
    <w:rsid w:val="00A10EC5"/>
    <w:rsid w:val="00A11F66"/>
    <w:rsid w:val="00A14AB4"/>
    <w:rsid w:val="00A1511F"/>
    <w:rsid w:val="00A15CC6"/>
    <w:rsid w:val="00A1769B"/>
    <w:rsid w:val="00A2079F"/>
    <w:rsid w:val="00A21030"/>
    <w:rsid w:val="00A22B78"/>
    <w:rsid w:val="00A25AE5"/>
    <w:rsid w:val="00A328F5"/>
    <w:rsid w:val="00A37002"/>
    <w:rsid w:val="00A52D27"/>
    <w:rsid w:val="00A53370"/>
    <w:rsid w:val="00A55980"/>
    <w:rsid w:val="00A57548"/>
    <w:rsid w:val="00A60516"/>
    <w:rsid w:val="00A65EA9"/>
    <w:rsid w:val="00A662C4"/>
    <w:rsid w:val="00A72FA8"/>
    <w:rsid w:val="00A73D43"/>
    <w:rsid w:val="00A777FC"/>
    <w:rsid w:val="00A83E32"/>
    <w:rsid w:val="00A84B68"/>
    <w:rsid w:val="00A9505E"/>
    <w:rsid w:val="00A95407"/>
    <w:rsid w:val="00A965C0"/>
    <w:rsid w:val="00AA1B0E"/>
    <w:rsid w:val="00AA2473"/>
    <w:rsid w:val="00AA354E"/>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1942"/>
    <w:rsid w:val="00B03900"/>
    <w:rsid w:val="00B04D5E"/>
    <w:rsid w:val="00B06FD7"/>
    <w:rsid w:val="00B07E9B"/>
    <w:rsid w:val="00B1064C"/>
    <w:rsid w:val="00B1161E"/>
    <w:rsid w:val="00B1202E"/>
    <w:rsid w:val="00B14C4C"/>
    <w:rsid w:val="00B20782"/>
    <w:rsid w:val="00B232C9"/>
    <w:rsid w:val="00B23690"/>
    <w:rsid w:val="00B3228D"/>
    <w:rsid w:val="00B405CC"/>
    <w:rsid w:val="00B40AF9"/>
    <w:rsid w:val="00B52387"/>
    <w:rsid w:val="00B5748D"/>
    <w:rsid w:val="00B6388E"/>
    <w:rsid w:val="00B6418A"/>
    <w:rsid w:val="00B664A5"/>
    <w:rsid w:val="00B709EA"/>
    <w:rsid w:val="00B7240A"/>
    <w:rsid w:val="00B73862"/>
    <w:rsid w:val="00B84618"/>
    <w:rsid w:val="00B84BE8"/>
    <w:rsid w:val="00B850A7"/>
    <w:rsid w:val="00B86220"/>
    <w:rsid w:val="00B93B46"/>
    <w:rsid w:val="00B965B5"/>
    <w:rsid w:val="00BA16C5"/>
    <w:rsid w:val="00BA4052"/>
    <w:rsid w:val="00BA66A6"/>
    <w:rsid w:val="00BA6E48"/>
    <w:rsid w:val="00BA7015"/>
    <w:rsid w:val="00BA74CE"/>
    <w:rsid w:val="00BA78C7"/>
    <w:rsid w:val="00BB08D9"/>
    <w:rsid w:val="00BB4391"/>
    <w:rsid w:val="00BB776C"/>
    <w:rsid w:val="00BC5FED"/>
    <w:rsid w:val="00BD2440"/>
    <w:rsid w:val="00BD440B"/>
    <w:rsid w:val="00BE04E1"/>
    <w:rsid w:val="00BE253A"/>
    <w:rsid w:val="00BF18C0"/>
    <w:rsid w:val="00BF2218"/>
    <w:rsid w:val="00BF4CED"/>
    <w:rsid w:val="00C040A9"/>
    <w:rsid w:val="00C12317"/>
    <w:rsid w:val="00C1303F"/>
    <w:rsid w:val="00C135EE"/>
    <w:rsid w:val="00C13770"/>
    <w:rsid w:val="00C16930"/>
    <w:rsid w:val="00C17ABA"/>
    <w:rsid w:val="00C206B3"/>
    <w:rsid w:val="00C21ADB"/>
    <w:rsid w:val="00C225FC"/>
    <w:rsid w:val="00C23624"/>
    <w:rsid w:val="00C24946"/>
    <w:rsid w:val="00C2501C"/>
    <w:rsid w:val="00C251A8"/>
    <w:rsid w:val="00C27C32"/>
    <w:rsid w:val="00C3112F"/>
    <w:rsid w:val="00C31448"/>
    <w:rsid w:val="00C33CCA"/>
    <w:rsid w:val="00C53940"/>
    <w:rsid w:val="00C53CD6"/>
    <w:rsid w:val="00C64570"/>
    <w:rsid w:val="00C66B74"/>
    <w:rsid w:val="00C67938"/>
    <w:rsid w:val="00C7490E"/>
    <w:rsid w:val="00C74D29"/>
    <w:rsid w:val="00C77934"/>
    <w:rsid w:val="00C81724"/>
    <w:rsid w:val="00C86711"/>
    <w:rsid w:val="00C87AE4"/>
    <w:rsid w:val="00C900C4"/>
    <w:rsid w:val="00C90952"/>
    <w:rsid w:val="00C922A6"/>
    <w:rsid w:val="00C92C9D"/>
    <w:rsid w:val="00C92F14"/>
    <w:rsid w:val="00C95B9A"/>
    <w:rsid w:val="00C976CB"/>
    <w:rsid w:val="00CA054C"/>
    <w:rsid w:val="00CA136F"/>
    <w:rsid w:val="00CA3A70"/>
    <w:rsid w:val="00CA4325"/>
    <w:rsid w:val="00CA499B"/>
    <w:rsid w:val="00CA5F5B"/>
    <w:rsid w:val="00CA6319"/>
    <w:rsid w:val="00CA7314"/>
    <w:rsid w:val="00CB2E4C"/>
    <w:rsid w:val="00CB3ED7"/>
    <w:rsid w:val="00CB5395"/>
    <w:rsid w:val="00CB6167"/>
    <w:rsid w:val="00CB7AEB"/>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395"/>
    <w:rsid w:val="00D71CE5"/>
    <w:rsid w:val="00D740CA"/>
    <w:rsid w:val="00D74F97"/>
    <w:rsid w:val="00D766FA"/>
    <w:rsid w:val="00D77446"/>
    <w:rsid w:val="00D8227F"/>
    <w:rsid w:val="00D841F0"/>
    <w:rsid w:val="00D85728"/>
    <w:rsid w:val="00D86891"/>
    <w:rsid w:val="00D86918"/>
    <w:rsid w:val="00DA168C"/>
    <w:rsid w:val="00DA56A5"/>
    <w:rsid w:val="00DB01CB"/>
    <w:rsid w:val="00DB1979"/>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9F4"/>
    <w:rsid w:val="00E041BD"/>
    <w:rsid w:val="00E067AD"/>
    <w:rsid w:val="00E07836"/>
    <w:rsid w:val="00E133E9"/>
    <w:rsid w:val="00E145DB"/>
    <w:rsid w:val="00E257CB"/>
    <w:rsid w:val="00E458CA"/>
    <w:rsid w:val="00E4606C"/>
    <w:rsid w:val="00E47C78"/>
    <w:rsid w:val="00E50338"/>
    <w:rsid w:val="00E66F0A"/>
    <w:rsid w:val="00E67FCB"/>
    <w:rsid w:val="00E708BF"/>
    <w:rsid w:val="00E77901"/>
    <w:rsid w:val="00E92ECD"/>
    <w:rsid w:val="00EA38EF"/>
    <w:rsid w:val="00EB03EC"/>
    <w:rsid w:val="00EB7117"/>
    <w:rsid w:val="00EC738C"/>
    <w:rsid w:val="00EC7BC3"/>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18D7"/>
    <w:rsid w:val="00F36512"/>
    <w:rsid w:val="00F40959"/>
    <w:rsid w:val="00F4470D"/>
    <w:rsid w:val="00F50B22"/>
    <w:rsid w:val="00F50ECE"/>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97582"/>
    <w:rsid w:val="00FA006E"/>
    <w:rsid w:val="00FA1D51"/>
    <w:rsid w:val="00FA253B"/>
    <w:rsid w:val="00FA6DBF"/>
    <w:rsid w:val="00FA7BC8"/>
    <w:rsid w:val="00FC29B9"/>
    <w:rsid w:val="00FC2C5B"/>
    <w:rsid w:val="00FC45E0"/>
    <w:rsid w:val="00FC6FD3"/>
    <w:rsid w:val="00FC7746"/>
    <w:rsid w:val="00FC7F0B"/>
    <w:rsid w:val="00FD0971"/>
    <w:rsid w:val="00FE330F"/>
    <w:rsid w:val="00FE50B0"/>
    <w:rsid w:val="00FF0301"/>
    <w:rsid w:val="00FF2234"/>
    <w:rsid w:val="00FF289D"/>
    <w:rsid w:val="00FF6BCD"/>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40B"/>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6"/>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styleId="NoSpacing">
    <w:name w:val="No Spacing"/>
    <w:uiPriority w:val="1"/>
    <w:qFormat/>
    <w:rsid w:val="00BA4052"/>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8010422">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105421873">
      <w:bodyDiv w:val="1"/>
      <w:marLeft w:val="0"/>
      <w:marRight w:val="0"/>
      <w:marTop w:val="0"/>
      <w:marBottom w:val="0"/>
      <w:divBdr>
        <w:top w:val="none" w:sz="0" w:space="0" w:color="auto"/>
        <w:left w:val="none" w:sz="0" w:space="0" w:color="auto"/>
        <w:bottom w:val="none" w:sz="0" w:space="0" w:color="auto"/>
        <w:right w:val="none" w:sz="0" w:space="0" w:color="auto"/>
      </w:divBdr>
      <w:divsChild>
        <w:div w:id="38282264">
          <w:marLeft w:val="547"/>
          <w:marRight w:val="0"/>
          <w:marTop w:val="144"/>
          <w:marBottom w:val="0"/>
          <w:divBdr>
            <w:top w:val="none" w:sz="0" w:space="0" w:color="auto"/>
            <w:left w:val="none" w:sz="0" w:space="0" w:color="auto"/>
            <w:bottom w:val="none" w:sz="0" w:space="0" w:color="auto"/>
            <w:right w:val="none" w:sz="0" w:space="0" w:color="auto"/>
          </w:divBdr>
        </w:div>
        <w:div w:id="234554457">
          <w:marLeft w:val="1166"/>
          <w:marRight w:val="0"/>
          <w:marTop w:val="125"/>
          <w:marBottom w:val="0"/>
          <w:divBdr>
            <w:top w:val="none" w:sz="0" w:space="0" w:color="auto"/>
            <w:left w:val="none" w:sz="0" w:space="0" w:color="auto"/>
            <w:bottom w:val="none" w:sz="0" w:space="0" w:color="auto"/>
            <w:right w:val="none" w:sz="0" w:space="0" w:color="auto"/>
          </w:divBdr>
        </w:div>
        <w:div w:id="1483811207">
          <w:marLeft w:val="1800"/>
          <w:marRight w:val="0"/>
          <w:marTop w:val="106"/>
          <w:marBottom w:val="0"/>
          <w:divBdr>
            <w:top w:val="none" w:sz="0" w:space="0" w:color="auto"/>
            <w:left w:val="none" w:sz="0" w:space="0" w:color="auto"/>
            <w:bottom w:val="none" w:sz="0" w:space="0" w:color="auto"/>
            <w:right w:val="none" w:sz="0" w:space="0" w:color="auto"/>
          </w:divBdr>
        </w:div>
      </w:divsChild>
    </w:div>
    <w:div w:id="1153377096">
      <w:bodyDiv w:val="1"/>
      <w:marLeft w:val="0"/>
      <w:marRight w:val="0"/>
      <w:marTop w:val="0"/>
      <w:marBottom w:val="0"/>
      <w:divBdr>
        <w:top w:val="none" w:sz="0" w:space="0" w:color="auto"/>
        <w:left w:val="none" w:sz="0" w:space="0" w:color="auto"/>
        <w:bottom w:val="none" w:sz="0" w:space="0" w:color="auto"/>
        <w:right w:val="none" w:sz="0" w:space="0" w:color="auto"/>
      </w:divBdr>
      <w:divsChild>
        <w:div w:id="1782726427">
          <w:marLeft w:val="547"/>
          <w:marRight w:val="0"/>
          <w:marTop w:val="106"/>
          <w:marBottom w:val="0"/>
          <w:divBdr>
            <w:top w:val="none" w:sz="0" w:space="0" w:color="auto"/>
            <w:left w:val="none" w:sz="0" w:space="0" w:color="auto"/>
            <w:bottom w:val="none" w:sz="0" w:space="0" w:color="auto"/>
            <w:right w:val="none" w:sz="0" w:space="0" w:color="auto"/>
          </w:divBdr>
        </w:div>
        <w:div w:id="427777965">
          <w:marLeft w:val="1166"/>
          <w:marRight w:val="0"/>
          <w:marTop w:val="96"/>
          <w:marBottom w:val="0"/>
          <w:divBdr>
            <w:top w:val="none" w:sz="0" w:space="0" w:color="auto"/>
            <w:left w:val="none" w:sz="0" w:space="0" w:color="auto"/>
            <w:bottom w:val="none" w:sz="0" w:space="0" w:color="auto"/>
            <w:right w:val="none" w:sz="0" w:space="0" w:color="auto"/>
          </w:divBdr>
        </w:div>
        <w:div w:id="58524237">
          <w:marLeft w:val="1166"/>
          <w:marRight w:val="0"/>
          <w:marTop w:val="96"/>
          <w:marBottom w:val="0"/>
          <w:divBdr>
            <w:top w:val="none" w:sz="0" w:space="0" w:color="auto"/>
            <w:left w:val="none" w:sz="0" w:space="0" w:color="auto"/>
            <w:bottom w:val="none" w:sz="0" w:space="0" w:color="auto"/>
            <w:right w:val="none" w:sz="0" w:space="0" w:color="auto"/>
          </w:divBdr>
        </w:div>
        <w:div w:id="1893882398">
          <w:marLeft w:val="1800"/>
          <w:marRight w:val="0"/>
          <w:marTop w:val="86"/>
          <w:marBottom w:val="0"/>
          <w:divBdr>
            <w:top w:val="none" w:sz="0" w:space="0" w:color="auto"/>
            <w:left w:val="none" w:sz="0" w:space="0" w:color="auto"/>
            <w:bottom w:val="none" w:sz="0" w:space="0" w:color="auto"/>
            <w:right w:val="none" w:sz="0" w:space="0" w:color="auto"/>
          </w:divBdr>
        </w:div>
        <w:div w:id="586236692">
          <w:marLeft w:val="1800"/>
          <w:marRight w:val="0"/>
          <w:marTop w:val="86"/>
          <w:marBottom w:val="0"/>
          <w:divBdr>
            <w:top w:val="none" w:sz="0" w:space="0" w:color="auto"/>
            <w:left w:val="none" w:sz="0" w:space="0" w:color="auto"/>
            <w:bottom w:val="none" w:sz="0" w:space="0" w:color="auto"/>
            <w:right w:val="none" w:sz="0" w:space="0" w:color="auto"/>
          </w:divBdr>
        </w:div>
        <w:div w:id="1515148870">
          <w:marLeft w:val="2520"/>
          <w:marRight w:val="0"/>
          <w:marTop w:val="86"/>
          <w:marBottom w:val="0"/>
          <w:divBdr>
            <w:top w:val="none" w:sz="0" w:space="0" w:color="auto"/>
            <w:left w:val="none" w:sz="0" w:space="0" w:color="auto"/>
            <w:bottom w:val="none" w:sz="0" w:space="0" w:color="auto"/>
            <w:right w:val="none" w:sz="0" w:space="0" w:color="auto"/>
          </w:divBdr>
        </w:div>
        <w:div w:id="397631786">
          <w:marLeft w:val="2520"/>
          <w:marRight w:val="0"/>
          <w:marTop w:val="86"/>
          <w:marBottom w:val="0"/>
          <w:divBdr>
            <w:top w:val="none" w:sz="0" w:space="0" w:color="auto"/>
            <w:left w:val="none" w:sz="0" w:space="0" w:color="auto"/>
            <w:bottom w:val="none" w:sz="0" w:space="0" w:color="auto"/>
            <w:right w:val="none" w:sz="0" w:space="0" w:color="auto"/>
          </w:divBdr>
        </w:div>
        <w:div w:id="1710493085">
          <w:marLeft w:val="1166"/>
          <w:marRight w:val="0"/>
          <w:marTop w:val="96"/>
          <w:marBottom w:val="0"/>
          <w:divBdr>
            <w:top w:val="none" w:sz="0" w:space="0" w:color="auto"/>
            <w:left w:val="none" w:sz="0" w:space="0" w:color="auto"/>
            <w:bottom w:val="none" w:sz="0" w:space="0" w:color="auto"/>
            <w:right w:val="none" w:sz="0" w:space="0" w:color="auto"/>
          </w:divBdr>
        </w:div>
      </w:divsChild>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1423491">
      <w:bodyDiv w:val="1"/>
      <w:marLeft w:val="0"/>
      <w:marRight w:val="0"/>
      <w:marTop w:val="0"/>
      <w:marBottom w:val="0"/>
      <w:divBdr>
        <w:top w:val="none" w:sz="0" w:space="0" w:color="auto"/>
        <w:left w:val="none" w:sz="0" w:space="0" w:color="auto"/>
        <w:bottom w:val="none" w:sz="0" w:space="0" w:color="auto"/>
        <w:right w:val="none" w:sz="0" w:space="0" w:color="auto"/>
      </w:divBdr>
    </w:div>
    <w:div w:id="135700577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09636054">
      <w:bodyDiv w:val="1"/>
      <w:marLeft w:val="0"/>
      <w:marRight w:val="0"/>
      <w:marTop w:val="0"/>
      <w:marBottom w:val="0"/>
      <w:divBdr>
        <w:top w:val="none" w:sz="0" w:space="0" w:color="auto"/>
        <w:left w:val="none" w:sz="0" w:space="0" w:color="auto"/>
        <w:bottom w:val="none" w:sz="0" w:space="0" w:color="auto"/>
        <w:right w:val="none" w:sz="0" w:space="0" w:color="auto"/>
      </w:divBdr>
      <w:divsChild>
        <w:div w:id="758672459">
          <w:marLeft w:val="547"/>
          <w:marRight w:val="0"/>
          <w:marTop w:val="106"/>
          <w:marBottom w:val="0"/>
          <w:divBdr>
            <w:top w:val="none" w:sz="0" w:space="0" w:color="auto"/>
            <w:left w:val="none" w:sz="0" w:space="0" w:color="auto"/>
            <w:bottom w:val="none" w:sz="0" w:space="0" w:color="auto"/>
            <w:right w:val="none" w:sz="0" w:space="0" w:color="auto"/>
          </w:divBdr>
        </w:div>
        <w:div w:id="1776906070">
          <w:marLeft w:val="1166"/>
          <w:marRight w:val="0"/>
          <w:marTop w:val="96"/>
          <w:marBottom w:val="0"/>
          <w:divBdr>
            <w:top w:val="none" w:sz="0" w:space="0" w:color="auto"/>
            <w:left w:val="none" w:sz="0" w:space="0" w:color="auto"/>
            <w:bottom w:val="none" w:sz="0" w:space="0" w:color="auto"/>
            <w:right w:val="none" w:sz="0" w:space="0" w:color="auto"/>
          </w:divBdr>
        </w:div>
        <w:div w:id="1701319848">
          <w:marLeft w:val="1166"/>
          <w:marRight w:val="0"/>
          <w:marTop w:val="96"/>
          <w:marBottom w:val="0"/>
          <w:divBdr>
            <w:top w:val="none" w:sz="0" w:space="0" w:color="auto"/>
            <w:left w:val="none" w:sz="0" w:space="0" w:color="auto"/>
            <w:bottom w:val="none" w:sz="0" w:space="0" w:color="auto"/>
            <w:right w:val="none" w:sz="0" w:space="0" w:color="auto"/>
          </w:divBdr>
        </w:div>
        <w:div w:id="1803962549">
          <w:marLeft w:val="1800"/>
          <w:marRight w:val="0"/>
          <w:marTop w:val="86"/>
          <w:marBottom w:val="0"/>
          <w:divBdr>
            <w:top w:val="none" w:sz="0" w:space="0" w:color="auto"/>
            <w:left w:val="none" w:sz="0" w:space="0" w:color="auto"/>
            <w:bottom w:val="none" w:sz="0" w:space="0" w:color="auto"/>
            <w:right w:val="none" w:sz="0" w:space="0" w:color="auto"/>
          </w:divBdr>
        </w:div>
        <w:div w:id="315191162">
          <w:marLeft w:val="1800"/>
          <w:marRight w:val="0"/>
          <w:marTop w:val="86"/>
          <w:marBottom w:val="0"/>
          <w:divBdr>
            <w:top w:val="none" w:sz="0" w:space="0" w:color="auto"/>
            <w:left w:val="none" w:sz="0" w:space="0" w:color="auto"/>
            <w:bottom w:val="none" w:sz="0" w:space="0" w:color="auto"/>
            <w:right w:val="none" w:sz="0" w:space="0" w:color="auto"/>
          </w:divBdr>
        </w:div>
        <w:div w:id="1312490432">
          <w:marLeft w:val="2520"/>
          <w:marRight w:val="0"/>
          <w:marTop w:val="86"/>
          <w:marBottom w:val="0"/>
          <w:divBdr>
            <w:top w:val="none" w:sz="0" w:space="0" w:color="auto"/>
            <w:left w:val="none" w:sz="0" w:space="0" w:color="auto"/>
            <w:bottom w:val="none" w:sz="0" w:space="0" w:color="auto"/>
            <w:right w:val="none" w:sz="0" w:space="0" w:color="auto"/>
          </w:divBdr>
        </w:div>
        <w:div w:id="537353871">
          <w:marLeft w:val="2520"/>
          <w:marRight w:val="0"/>
          <w:marTop w:val="86"/>
          <w:marBottom w:val="0"/>
          <w:divBdr>
            <w:top w:val="none" w:sz="0" w:space="0" w:color="auto"/>
            <w:left w:val="none" w:sz="0" w:space="0" w:color="auto"/>
            <w:bottom w:val="none" w:sz="0" w:space="0" w:color="auto"/>
            <w:right w:val="none" w:sz="0" w:space="0" w:color="auto"/>
          </w:divBdr>
        </w:div>
        <w:div w:id="387187758">
          <w:marLeft w:val="1166"/>
          <w:marRight w:val="0"/>
          <w:marTop w:val="9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22195029">
      <w:bodyDiv w:val="1"/>
      <w:marLeft w:val="0"/>
      <w:marRight w:val="0"/>
      <w:marTop w:val="0"/>
      <w:marBottom w:val="0"/>
      <w:divBdr>
        <w:top w:val="none" w:sz="0" w:space="0" w:color="auto"/>
        <w:left w:val="none" w:sz="0" w:space="0" w:color="auto"/>
        <w:bottom w:val="none" w:sz="0" w:space="0" w:color="auto"/>
        <w:right w:val="none" w:sz="0" w:space="0" w:color="auto"/>
      </w:divBdr>
      <w:divsChild>
        <w:div w:id="656961786">
          <w:marLeft w:val="547"/>
          <w:marRight w:val="0"/>
          <w:marTop w:val="106"/>
          <w:marBottom w:val="0"/>
          <w:divBdr>
            <w:top w:val="none" w:sz="0" w:space="0" w:color="auto"/>
            <w:left w:val="none" w:sz="0" w:space="0" w:color="auto"/>
            <w:bottom w:val="none" w:sz="0" w:space="0" w:color="auto"/>
            <w:right w:val="none" w:sz="0" w:space="0" w:color="auto"/>
          </w:divBdr>
        </w:div>
        <w:div w:id="2024286602">
          <w:marLeft w:val="1166"/>
          <w:marRight w:val="0"/>
          <w:marTop w:val="96"/>
          <w:marBottom w:val="0"/>
          <w:divBdr>
            <w:top w:val="none" w:sz="0" w:space="0" w:color="auto"/>
            <w:left w:val="none" w:sz="0" w:space="0" w:color="auto"/>
            <w:bottom w:val="none" w:sz="0" w:space="0" w:color="auto"/>
            <w:right w:val="none" w:sz="0" w:space="0" w:color="auto"/>
          </w:divBdr>
        </w:div>
        <w:div w:id="380205232">
          <w:marLeft w:val="1166"/>
          <w:marRight w:val="0"/>
          <w:marTop w:val="96"/>
          <w:marBottom w:val="0"/>
          <w:divBdr>
            <w:top w:val="none" w:sz="0" w:space="0" w:color="auto"/>
            <w:left w:val="none" w:sz="0" w:space="0" w:color="auto"/>
            <w:bottom w:val="none" w:sz="0" w:space="0" w:color="auto"/>
            <w:right w:val="none" w:sz="0" w:space="0" w:color="auto"/>
          </w:divBdr>
        </w:div>
        <w:div w:id="25763213">
          <w:marLeft w:val="1800"/>
          <w:marRight w:val="0"/>
          <w:marTop w:val="86"/>
          <w:marBottom w:val="0"/>
          <w:divBdr>
            <w:top w:val="none" w:sz="0" w:space="0" w:color="auto"/>
            <w:left w:val="none" w:sz="0" w:space="0" w:color="auto"/>
            <w:bottom w:val="none" w:sz="0" w:space="0" w:color="auto"/>
            <w:right w:val="none" w:sz="0" w:space="0" w:color="auto"/>
          </w:divBdr>
        </w:div>
        <w:div w:id="849871289">
          <w:marLeft w:val="1800"/>
          <w:marRight w:val="0"/>
          <w:marTop w:val="86"/>
          <w:marBottom w:val="0"/>
          <w:divBdr>
            <w:top w:val="none" w:sz="0" w:space="0" w:color="auto"/>
            <w:left w:val="none" w:sz="0" w:space="0" w:color="auto"/>
            <w:bottom w:val="none" w:sz="0" w:space="0" w:color="auto"/>
            <w:right w:val="none" w:sz="0" w:space="0" w:color="auto"/>
          </w:divBdr>
        </w:div>
        <w:div w:id="493961335">
          <w:marLeft w:val="2520"/>
          <w:marRight w:val="0"/>
          <w:marTop w:val="86"/>
          <w:marBottom w:val="0"/>
          <w:divBdr>
            <w:top w:val="none" w:sz="0" w:space="0" w:color="auto"/>
            <w:left w:val="none" w:sz="0" w:space="0" w:color="auto"/>
            <w:bottom w:val="none" w:sz="0" w:space="0" w:color="auto"/>
            <w:right w:val="none" w:sz="0" w:space="0" w:color="auto"/>
          </w:divBdr>
        </w:div>
        <w:div w:id="270671897">
          <w:marLeft w:val="2520"/>
          <w:marRight w:val="0"/>
          <w:marTop w:val="86"/>
          <w:marBottom w:val="0"/>
          <w:divBdr>
            <w:top w:val="none" w:sz="0" w:space="0" w:color="auto"/>
            <w:left w:val="none" w:sz="0" w:space="0" w:color="auto"/>
            <w:bottom w:val="none" w:sz="0" w:space="0" w:color="auto"/>
            <w:right w:val="none" w:sz="0" w:space="0" w:color="auto"/>
          </w:divBdr>
        </w:div>
        <w:div w:id="2141148746">
          <w:marLeft w:val="1166"/>
          <w:marRight w:val="0"/>
          <w:marTop w:val="96"/>
          <w:marBottom w:val="0"/>
          <w:divBdr>
            <w:top w:val="none" w:sz="0" w:space="0" w:color="auto"/>
            <w:left w:val="none" w:sz="0" w:space="0" w:color="auto"/>
            <w:bottom w:val="none" w:sz="0" w:space="0" w:color="auto"/>
            <w:right w:val="none" w:sz="0" w:space="0" w:color="auto"/>
          </w:divBdr>
        </w:div>
      </w:divsChild>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2998851">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D7AF8-98FE-46E3-BC9B-6114FDA72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15</cp:revision>
  <dcterms:created xsi:type="dcterms:W3CDTF">2021-01-09T15:40:00Z</dcterms:created>
  <dcterms:modified xsi:type="dcterms:W3CDTF">2021-01-14T20:22:00Z</dcterms:modified>
</cp:coreProperties>
</file>